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AA" w:rsidRDefault="002C0AD9">
      <w:pPr>
        <w:pStyle w:val="Body"/>
        <w:rPr>
          <w:rFonts w:ascii="Calibri" w:hAnsi="Calibri"/>
          <w:b/>
          <w:bCs/>
          <w:color w:val="337630" w:themeColor="accent2" w:themeShade="80"/>
          <w:sz w:val="24"/>
          <w:szCs w:val="24"/>
        </w:rPr>
      </w:pPr>
      <w:r w:rsidRPr="002C0AD9">
        <w:rPr>
          <w:rFonts w:ascii="Calibri" w:hAnsi="Calibri"/>
          <w:b/>
          <w:bCs/>
          <w:noProof/>
          <w:color w:val="337630" w:themeColor="accent2" w:themeShade="80"/>
          <w:sz w:val="24"/>
          <w:szCs w:val="24"/>
          <w:lang w:eastAsia="zh-TW"/>
        </w:rPr>
        <w:pict>
          <v:shapetype id="_x0000_t202" coordsize="21600,21600" o:spt="202" path="m,l,21600r21600,l21600,xe">
            <v:stroke joinstyle="miter"/>
            <v:path gradientshapeok="t" o:connecttype="rect"/>
          </v:shapetype>
          <v:shape id="_x0000_s1029" type="#_x0000_t202" style="position:absolute;margin-left:8.5pt;margin-top:24.75pt;width:734pt;height:184.75pt;z-index:251662336;mso-height-percent:200;mso-height-percent:200;mso-width-relative:margin;mso-height-relative:margin" fillcolor="#85cc82 [3205]" strokecolor="#f2f2f2 [3041]" strokeweight="3pt">
            <v:shadow on="t" type="perspective" color="#337630 [1605]" opacity=".5" offset="1pt" offset2="-1pt"/>
            <v:textbox style="mso-fit-shape-to-text:t">
              <w:txbxContent>
                <w:p w:rsidR="00D30291" w:rsidRPr="000A46FC" w:rsidRDefault="00D30291">
                  <w:pPr>
                    <w:rPr>
                      <w:rFonts w:ascii="Calibri" w:hAnsi="Calibri"/>
                      <w:b/>
                      <w:sz w:val="22"/>
                      <w:szCs w:val="22"/>
                    </w:rPr>
                  </w:pPr>
                  <w:r w:rsidRPr="000A46FC">
                    <w:rPr>
                      <w:rFonts w:ascii="Calibri" w:hAnsi="Calibri"/>
                      <w:b/>
                      <w:sz w:val="22"/>
                      <w:szCs w:val="22"/>
                    </w:rPr>
                    <w:t>Types of projects:</w:t>
                  </w:r>
                </w:p>
                <w:p w:rsidR="00D30291" w:rsidRPr="000A46FC" w:rsidRDefault="00D30291">
                  <w:pPr>
                    <w:rPr>
                      <w:rFonts w:ascii="Calibri" w:hAnsi="Calibri"/>
                      <w:sz w:val="22"/>
                      <w:szCs w:val="22"/>
                    </w:rPr>
                  </w:pPr>
                </w:p>
                <w:p w:rsidR="00D30291" w:rsidRPr="000A46FC" w:rsidRDefault="00D30291">
                  <w:pPr>
                    <w:rPr>
                      <w:rFonts w:ascii="Calibri" w:hAnsi="Calibri"/>
                      <w:sz w:val="22"/>
                      <w:szCs w:val="22"/>
                    </w:rPr>
                  </w:pPr>
                  <w:r w:rsidRPr="000A46FC">
                    <w:rPr>
                      <w:rFonts w:ascii="Calibri" w:hAnsi="Calibri"/>
                      <w:sz w:val="22"/>
                      <w:szCs w:val="22"/>
                    </w:rPr>
                    <w:t>Assessments</w:t>
                  </w:r>
                  <w:r>
                    <w:rPr>
                      <w:rFonts w:ascii="Calibri" w:hAnsi="Calibri"/>
                      <w:sz w:val="22"/>
                      <w:szCs w:val="22"/>
                    </w:rPr>
                    <w:t xml:space="preserve">: </w:t>
                  </w:r>
                  <w:r w:rsidRPr="000A46FC">
                    <w:rPr>
                      <w:rFonts w:ascii="Calibri" w:hAnsi="Calibri"/>
                      <w:sz w:val="22"/>
                      <w:szCs w:val="22"/>
                    </w:rPr>
                    <w:t>assessing</w:t>
                  </w:r>
                  <w:r>
                    <w:rPr>
                      <w:rFonts w:ascii="Calibri" w:hAnsi="Calibri"/>
                      <w:sz w:val="22"/>
                      <w:szCs w:val="22"/>
                    </w:rPr>
                    <w:t xml:space="preserve"> sets of </w:t>
                  </w:r>
                  <w:r w:rsidRPr="000A46FC">
                    <w:rPr>
                      <w:rFonts w:ascii="Calibri" w:hAnsi="Calibri"/>
                      <w:sz w:val="22"/>
                      <w:szCs w:val="22"/>
                    </w:rPr>
                    <w:t xml:space="preserve">statistics against the </w:t>
                  </w:r>
                  <w:r w:rsidRPr="000A46FC">
                    <w:rPr>
                      <w:rFonts w:ascii="Calibri" w:hAnsi="Calibri"/>
                      <w:i/>
                      <w:sz w:val="22"/>
                      <w:szCs w:val="22"/>
                    </w:rPr>
                    <w:t>Code of Practice for Official Statistics</w:t>
                  </w:r>
                  <w:r w:rsidRPr="000A46FC">
                    <w:rPr>
                      <w:rFonts w:ascii="Calibri" w:hAnsi="Calibri"/>
                      <w:sz w:val="22"/>
                      <w:szCs w:val="22"/>
                    </w:rPr>
                    <w:t>, and if they comply in full with the Code, designate them as National Statistics.</w:t>
                  </w:r>
                </w:p>
                <w:p w:rsidR="00D30291" w:rsidRPr="000A46FC" w:rsidRDefault="00D30291">
                  <w:pPr>
                    <w:rPr>
                      <w:rFonts w:ascii="Calibri" w:hAnsi="Calibri"/>
                      <w:sz w:val="22"/>
                      <w:szCs w:val="22"/>
                    </w:rPr>
                  </w:pPr>
                </w:p>
                <w:p w:rsidR="00D30291" w:rsidRPr="000A46FC" w:rsidRDefault="00D30291">
                  <w:pPr>
                    <w:rPr>
                      <w:rFonts w:ascii="Calibri" w:hAnsi="Calibri"/>
                      <w:sz w:val="22"/>
                      <w:szCs w:val="22"/>
                    </w:rPr>
                  </w:pPr>
                  <w:r w:rsidRPr="000A46FC">
                    <w:rPr>
                      <w:rFonts w:ascii="Calibri" w:hAnsi="Calibri"/>
                      <w:sz w:val="22"/>
                      <w:szCs w:val="22"/>
                    </w:rPr>
                    <w:t>Compliance Checks</w:t>
                  </w:r>
                  <w:r>
                    <w:rPr>
                      <w:rFonts w:ascii="Calibri" w:hAnsi="Calibri"/>
                      <w:sz w:val="22"/>
                      <w:szCs w:val="22"/>
                    </w:rPr>
                    <w:t>: A flexible tool to check for compliance with the Code of Practice for Official Statistics, often with a focus on specific Principles. Compliance checks that highlight concerns about trustworthiness, quality and value may lead to a full assessment or to the removal of the National Statistics designation</w:t>
                  </w:r>
                </w:p>
                <w:p w:rsidR="00D30291" w:rsidRPr="000A46FC" w:rsidRDefault="00D30291">
                  <w:pPr>
                    <w:rPr>
                      <w:rFonts w:ascii="Calibri" w:hAnsi="Calibri"/>
                      <w:sz w:val="22"/>
                      <w:szCs w:val="22"/>
                    </w:rPr>
                  </w:pPr>
                </w:p>
                <w:p w:rsidR="00D30291" w:rsidRPr="000A46FC" w:rsidRDefault="00D30291">
                  <w:pPr>
                    <w:rPr>
                      <w:rFonts w:ascii="Calibri" w:hAnsi="Calibri"/>
                      <w:sz w:val="22"/>
                      <w:szCs w:val="22"/>
                    </w:rPr>
                  </w:pPr>
                  <w:r w:rsidRPr="000A46FC">
                    <w:rPr>
                      <w:rFonts w:ascii="Calibri" w:hAnsi="Calibri"/>
                      <w:sz w:val="22"/>
                      <w:szCs w:val="22"/>
                    </w:rPr>
                    <w:t>Systemic Reviews</w:t>
                  </w:r>
                  <w:r>
                    <w:rPr>
                      <w:rFonts w:ascii="Calibri" w:hAnsi="Calibri"/>
                      <w:sz w:val="22"/>
                      <w:szCs w:val="22"/>
                    </w:rPr>
                    <w:t xml:space="preserve">: </w:t>
                  </w:r>
                  <w:r w:rsidRPr="000A46FC">
                    <w:rPr>
                      <w:rFonts w:ascii="Calibri" w:hAnsi="Calibri"/>
                      <w:sz w:val="22"/>
                      <w:szCs w:val="22"/>
                    </w:rPr>
                    <w:t>Reviewing issues and opportunities at a syste</w:t>
                  </w:r>
                  <w:r>
                    <w:rPr>
                      <w:rFonts w:ascii="Calibri" w:hAnsi="Calibri"/>
                      <w:sz w:val="22"/>
                      <w:szCs w:val="22"/>
                    </w:rPr>
                    <w:t>m-wide</w:t>
                  </w:r>
                  <w:r w:rsidRPr="000A46FC">
                    <w:rPr>
                      <w:rFonts w:ascii="Calibri" w:hAnsi="Calibri"/>
                      <w:sz w:val="22"/>
                      <w:szCs w:val="22"/>
                    </w:rPr>
                    <w:t xml:space="preserve"> level</w:t>
                  </w:r>
                  <w:r>
                    <w:rPr>
                      <w:rFonts w:ascii="Calibri" w:hAnsi="Calibri"/>
                      <w:sz w:val="22"/>
                      <w:szCs w:val="22"/>
                    </w:rPr>
                    <w:t>. These may be specific to a theme or cut across themes.</w:t>
                  </w:r>
                  <w:r w:rsidRPr="00402B0F">
                    <w:t xml:space="preserve"> </w:t>
                  </w:r>
                  <w:r w:rsidRPr="00402B0F">
                    <w:rPr>
                      <w:rFonts w:ascii="Calibri" w:hAnsi="Calibri"/>
                      <w:sz w:val="22"/>
                      <w:szCs w:val="22"/>
                    </w:rPr>
                    <w:t>Within themes these reviews often involve examining the landscape of statistics to look at the extent to which they collectively maximise public value. A systemic review may lead to direct engagement activity to try and help address issues identified</w:t>
                  </w:r>
                </w:p>
                <w:p w:rsidR="00D30291" w:rsidRPr="000A46FC" w:rsidRDefault="00D30291">
                  <w:pPr>
                    <w:rPr>
                      <w:rFonts w:ascii="Calibri" w:hAnsi="Calibri"/>
                      <w:sz w:val="22"/>
                      <w:szCs w:val="22"/>
                    </w:rPr>
                  </w:pPr>
                </w:p>
                <w:p w:rsidR="00D30291" w:rsidRDefault="00D30291">
                  <w:pPr>
                    <w:rPr>
                      <w:rFonts w:ascii="Calibri" w:hAnsi="Calibri"/>
                      <w:sz w:val="22"/>
                      <w:szCs w:val="22"/>
                    </w:rPr>
                  </w:pPr>
                  <w:r>
                    <w:rPr>
                      <w:rFonts w:ascii="Calibri" w:hAnsi="Calibri"/>
                      <w:sz w:val="22"/>
                      <w:szCs w:val="22"/>
                    </w:rPr>
                    <w:t>Engagement Activities: Including utilising the Office for Statistics Regulation’s powers to convene to bring together statistics producers and users to support improvement in about trustworthiness, quality and value – from small expert round tables to larger summits</w:t>
                  </w:r>
                </w:p>
                <w:p w:rsidR="00D30291" w:rsidRDefault="00D30291">
                  <w:pPr>
                    <w:rPr>
                      <w:rFonts w:ascii="Calibri" w:hAnsi="Calibri"/>
                      <w:sz w:val="22"/>
                      <w:szCs w:val="22"/>
                    </w:rPr>
                  </w:pPr>
                  <w:r>
                    <w:rPr>
                      <w:rFonts w:ascii="Calibri" w:hAnsi="Calibri"/>
                      <w:sz w:val="22"/>
                      <w:szCs w:val="22"/>
                    </w:rPr>
                    <w:t xml:space="preserve"> </w:t>
                  </w:r>
                </w:p>
                <w:p w:rsidR="00D30291" w:rsidRPr="000A46FC" w:rsidRDefault="00D30291">
                  <w:pPr>
                    <w:rPr>
                      <w:rFonts w:ascii="Calibri" w:hAnsi="Calibri"/>
                      <w:sz w:val="22"/>
                      <w:szCs w:val="22"/>
                    </w:rPr>
                  </w:pPr>
                  <w:r w:rsidRPr="000A46FC">
                    <w:rPr>
                      <w:rFonts w:ascii="Calibri" w:hAnsi="Calibri"/>
                      <w:sz w:val="22"/>
                      <w:szCs w:val="22"/>
                    </w:rPr>
                    <w:t>Watching Briefs</w:t>
                  </w:r>
                  <w:r>
                    <w:rPr>
                      <w:rFonts w:ascii="Calibri" w:hAnsi="Calibri"/>
                      <w:sz w:val="22"/>
                      <w:szCs w:val="22"/>
                    </w:rPr>
                    <w:t>: Through engagement and horizon scanning, maintain a close and active watch on an important topic with a view to initiating action as issues and opportunities arise</w:t>
                  </w:r>
                </w:p>
                <w:p w:rsidR="00D30291" w:rsidRPr="000A46FC" w:rsidRDefault="00D30291">
                  <w:pPr>
                    <w:rPr>
                      <w:rFonts w:ascii="Calibri" w:hAnsi="Calibri"/>
                      <w:color w:val="FF0000"/>
                      <w:sz w:val="22"/>
                      <w:szCs w:val="22"/>
                    </w:rPr>
                  </w:pPr>
                </w:p>
              </w:txbxContent>
            </v:textbox>
          </v:shape>
        </w:pict>
      </w:r>
      <w:r w:rsidR="00FE24E3" w:rsidRPr="00CB2AFC">
        <w:rPr>
          <w:rFonts w:ascii="Calibri" w:hAnsi="Calibri"/>
          <w:b/>
          <w:bCs/>
          <w:color w:val="337630" w:themeColor="accent2" w:themeShade="80"/>
          <w:sz w:val="28"/>
          <w:szCs w:val="28"/>
        </w:rPr>
        <w:t xml:space="preserve">Template: Your views on the 2017/18 </w:t>
      </w:r>
      <w:r w:rsidR="00765BAB">
        <w:rPr>
          <w:rFonts w:ascii="Calibri" w:hAnsi="Calibri"/>
          <w:b/>
          <w:bCs/>
          <w:color w:val="337630" w:themeColor="accent2" w:themeShade="80"/>
          <w:sz w:val="28"/>
          <w:szCs w:val="28"/>
        </w:rPr>
        <w:t xml:space="preserve">Regulatory </w:t>
      </w:r>
      <w:r w:rsidR="00FE24E3" w:rsidRPr="00CB2AFC">
        <w:rPr>
          <w:rFonts w:ascii="Calibri" w:hAnsi="Calibri"/>
          <w:b/>
          <w:bCs/>
          <w:color w:val="337630" w:themeColor="accent2" w:themeShade="80"/>
          <w:sz w:val="28"/>
          <w:szCs w:val="28"/>
        </w:rPr>
        <w:t xml:space="preserve">Work Programme Priorities </w:t>
      </w:r>
    </w:p>
    <w:p w:rsidR="00703AAA" w:rsidRDefault="00703AAA">
      <w:pPr>
        <w:pStyle w:val="Body"/>
        <w:rPr>
          <w:rFonts w:ascii="Calibri" w:hAnsi="Calibri"/>
          <w:b/>
          <w:bCs/>
          <w:color w:val="337630" w:themeColor="accent2" w:themeShade="80"/>
          <w:sz w:val="24"/>
          <w:szCs w:val="24"/>
        </w:rPr>
      </w:pPr>
    </w:p>
    <w:p w:rsidR="00703AAA" w:rsidRDefault="00703AAA">
      <w:pPr>
        <w:pStyle w:val="Body"/>
        <w:rPr>
          <w:rFonts w:ascii="Calibri" w:hAnsi="Calibri"/>
          <w:b/>
          <w:bCs/>
          <w:color w:val="337630" w:themeColor="accent2" w:themeShade="80"/>
          <w:sz w:val="24"/>
          <w:szCs w:val="24"/>
        </w:rPr>
      </w:pPr>
    </w:p>
    <w:p w:rsidR="00703AAA" w:rsidRDefault="00703AAA">
      <w:pPr>
        <w:pStyle w:val="Body"/>
        <w:rPr>
          <w:rFonts w:ascii="Calibri" w:hAnsi="Calibri"/>
          <w:b/>
          <w:bCs/>
          <w:color w:val="337630" w:themeColor="accent2" w:themeShade="80"/>
          <w:sz w:val="24"/>
          <w:szCs w:val="24"/>
        </w:rPr>
      </w:pPr>
    </w:p>
    <w:p w:rsidR="00703AAA" w:rsidRDefault="00703AAA">
      <w:pPr>
        <w:pStyle w:val="Body"/>
        <w:rPr>
          <w:rFonts w:ascii="Calibri" w:hAnsi="Calibri"/>
          <w:b/>
          <w:bCs/>
          <w:color w:val="337630" w:themeColor="accent2" w:themeShade="80"/>
          <w:sz w:val="24"/>
          <w:szCs w:val="24"/>
        </w:rPr>
      </w:pPr>
    </w:p>
    <w:p w:rsidR="00703AAA" w:rsidRDefault="00703AAA">
      <w:pPr>
        <w:pStyle w:val="Body"/>
        <w:rPr>
          <w:rFonts w:ascii="Calibri" w:hAnsi="Calibri"/>
          <w:b/>
          <w:bCs/>
          <w:color w:val="337630" w:themeColor="accent2" w:themeShade="80"/>
          <w:sz w:val="24"/>
          <w:szCs w:val="24"/>
        </w:rPr>
      </w:pPr>
    </w:p>
    <w:p w:rsidR="009E2894" w:rsidRDefault="009E2894">
      <w:pPr>
        <w:pStyle w:val="Body"/>
        <w:rPr>
          <w:rFonts w:ascii="Calibri" w:hAnsi="Calibri"/>
          <w:b/>
          <w:bCs/>
          <w:color w:val="337630" w:themeColor="accent2" w:themeShade="80"/>
          <w:sz w:val="24"/>
          <w:szCs w:val="24"/>
        </w:rPr>
      </w:pPr>
    </w:p>
    <w:p w:rsidR="009E2894" w:rsidRDefault="009E2894">
      <w:pPr>
        <w:pStyle w:val="Body"/>
        <w:rPr>
          <w:rFonts w:ascii="Calibri" w:hAnsi="Calibri"/>
          <w:b/>
          <w:bCs/>
          <w:color w:val="337630" w:themeColor="accent2" w:themeShade="80"/>
          <w:sz w:val="24"/>
          <w:szCs w:val="24"/>
        </w:rPr>
      </w:pPr>
    </w:p>
    <w:p w:rsidR="009E2894" w:rsidRDefault="009E2894">
      <w:pPr>
        <w:pStyle w:val="Body"/>
        <w:rPr>
          <w:rFonts w:ascii="Calibri" w:hAnsi="Calibri"/>
          <w:b/>
          <w:bCs/>
          <w:color w:val="337630" w:themeColor="accent2" w:themeShade="80"/>
          <w:sz w:val="24"/>
          <w:szCs w:val="24"/>
        </w:rPr>
      </w:pPr>
    </w:p>
    <w:p w:rsidR="00E0621C" w:rsidRDefault="00E0621C">
      <w:pPr>
        <w:pStyle w:val="Body"/>
        <w:rPr>
          <w:rFonts w:ascii="Calibri" w:hAnsi="Calibri"/>
          <w:b/>
          <w:bCs/>
          <w:color w:val="337630" w:themeColor="accent2" w:themeShade="80"/>
          <w:sz w:val="24"/>
          <w:szCs w:val="24"/>
        </w:rPr>
      </w:pPr>
    </w:p>
    <w:p w:rsidR="00247F92" w:rsidRDefault="00CB2AFC">
      <w:pPr>
        <w:pStyle w:val="Body"/>
        <w:rPr>
          <w:rFonts w:ascii="Calibri" w:hAnsi="Calibri"/>
          <w:b/>
          <w:bCs/>
          <w:color w:val="337630" w:themeColor="accent2" w:themeShade="80"/>
          <w:sz w:val="24"/>
          <w:szCs w:val="24"/>
        </w:rPr>
      </w:pPr>
      <w:r w:rsidRPr="00CB2AFC">
        <w:rPr>
          <w:rFonts w:ascii="Calibri" w:hAnsi="Calibri"/>
          <w:b/>
          <w:bCs/>
          <w:color w:val="337630" w:themeColor="accent2" w:themeShade="80"/>
          <w:sz w:val="24"/>
          <w:szCs w:val="24"/>
        </w:rPr>
        <w:t xml:space="preserve">Section 1: </w:t>
      </w:r>
      <w:r w:rsidR="00247F92">
        <w:rPr>
          <w:rFonts w:ascii="Calibri" w:hAnsi="Calibri"/>
          <w:b/>
          <w:bCs/>
          <w:color w:val="337630" w:themeColor="accent2" w:themeShade="80"/>
          <w:sz w:val="24"/>
          <w:szCs w:val="24"/>
        </w:rPr>
        <w:t xml:space="preserve">For information: Key projects with an existing commitment that will continue into 2017/18 </w:t>
      </w:r>
    </w:p>
    <w:tbl>
      <w:tblPr>
        <w:tblStyle w:val="TableGrid"/>
        <w:tblW w:w="15616" w:type="dxa"/>
        <w:tblLook w:val="04A0"/>
      </w:tblPr>
      <w:tblGrid>
        <w:gridCol w:w="3904"/>
        <w:gridCol w:w="7119"/>
        <w:gridCol w:w="2268"/>
        <w:gridCol w:w="2325"/>
      </w:tblGrid>
      <w:tr w:rsidR="00247F92" w:rsidRPr="003A74E3" w:rsidTr="00FF36AE">
        <w:tc>
          <w:tcPr>
            <w:tcW w:w="3904" w:type="dxa"/>
            <w:shd w:val="clear" w:color="auto" w:fill="E6F4E5" w:themeFill="accent2" w:themeFillTint="33"/>
          </w:tcPr>
          <w:p w:rsidR="00247F92" w:rsidRPr="00AE3FE1" w:rsidRDefault="002C0AD9" w:rsidP="00AE3FE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0000FF"/>
                <w:sz w:val="22"/>
                <w:szCs w:val="22"/>
              </w:rPr>
            </w:pPr>
            <w:hyperlink r:id="rId7" w:history="1">
              <w:r w:rsidR="00247F92" w:rsidRPr="00AE3FE1">
                <w:rPr>
                  <w:rStyle w:val="Hyperlink"/>
                  <w:rFonts w:ascii="Calibri" w:hAnsi="Calibri"/>
                  <w:b/>
                  <w:bCs/>
                  <w:color w:val="0000FF"/>
                  <w:sz w:val="22"/>
                  <w:szCs w:val="22"/>
                </w:rPr>
                <w:t>Theme</w:t>
              </w:r>
            </w:hyperlink>
            <w:r w:rsidR="00015223" w:rsidRPr="00AE3FE1">
              <w:rPr>
                <w:rFonts w:ascii="Calibri" w:hAnsi="Calibri"/>
                <w:b/>
                <w:bCs/>
                <w:color w:val="0000FF"/>
                <w:sz w:val="22"/>
                <w:szCs w:val="22"/>
              </w:rPr>
              <w:t xml:space="preserve"> </w:t>
            </w:r>
          </w:p>
        </w:tc>
        <w:tc>
          <w:tcPr>
            <w:tcW w:w="7119" w:type="dxa"/>
            <w:shd w:val="clear" w:color="auto" w:fill="E6F4E5" w:themeFill="accent2" w:themeFillTint="33"/>
          </w:tcPr>
          <w:p w:rsidR="00247F92" w:rsidRPr="003A74E3" w:rsidRDefault="00247F92" w:rsidP="00247F9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3A74E3">
              <w:rPr>
                <w:rFonts w:ascii="Calibri" w:hAnsi="Calibri"/>
                <w:b/>
                <w:bCs/>
                <w:color w:val="337630" w:themeColor="accent2" w:themeShade="80"/>
                <w:sz w:val="22"/>
                <w:szCs w:val="22"/>
              </w:rPr>
              <w:t>Project</w:t>
            </w:r>
          </w:p>
        </w:tc>
        <w:tc>
          <w:tcPr>
            <w:tcW w:w="2268" w:type="dxa"/>
            <w:shd w:val="clear" w:color="auto" w:fill="E6F4E5" w:themeFill="accent2" w:themeFillTint="33"/>
          </w:tcPr>
          <w:p w:rsidR="00247F92" w:rsidRPr="003A74E3" w:rsidRDefault="00BC75A9" w:rsidP="00247F9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3A74E3">
              <w:rPr>
                <w:rFonts w:ascii="Calibri" w:hAnsi="Calibri"/>
                <w:b/>
                <w:bCs/>
                <w:color w:val="337630" w:themeColor="accent2" w:themeShade="80"/>
                <w:sz w:val="22"/>
                <w:szCs w:val="22"/>
              </w:rPr>
              <w:t xml:space="preserve">Geographical </w:t>
            </w:r>
            <w:r w:rsidR="00247F92" w:rsidRPr="003A74E3">
              <w:rPr>
                <w:rFonts w:ascii="Calibri" w:hAnsi="Calibri"/>
                <w:b/>
                <w:bCs/>
                <w:color w:val="337630" w:themeColor="accent2" w:themeShade="80"/>
                <w:sz w:val="22"/>
                <w:szCs w:val="22"/>
              </w:rPr>
              <w:t>Coverage</w:t>
            </w:r>
          </w:p>
        </w:tc>
        <w:tc>
          <w:tcPr>
            <w:tcW w:w="2325" w:type="dxa"/>
            <w:shd w:val="clear" w:color="auto" w:fill="E6F4E5" w:themeFill="accent2" w:themeFillTint="33"/>
          </w:tcPr>
          <w:p w:rsidR="00247F92" w:rsidRPr="003A74E3" w:rsidRDefault="00247F92" w:rsidP="00247F9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3A74E3">
              <w:rPr>
                <w:rFonts w:ascii="Calibri" w:hAnsi="Calibri"/>
                <w:b/>
                <w:bCs/>
                <w:color w:val="337630" w:themeColor="accent2" w:themeShade="80"/>
                <w:sz w:val="22"/>
                <w:szCs w:val="22"/>
              </w:rPr>
              <w:t>Type</w:t>
            </w:r>
          </w:p>
        </w:tc>
      </w:tr>
      <w:tr w:rsidR="00D04DE5" w:rsidRPr="003A74E3" w:rsidTr="00FF36AE">
        <w:tc>
          <w:tcPr>
            <w:tcW w:w="3904" w:type="dxa"/>
            <w:vMerge w:val="restart"/>
          </w:tcPr>
          <w:p w:rsidR="0086776E" w:rsidRDefault="00D04DE5"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rPr>
            </w:pPr>
            <w:r w:rsidRPr="003A74E3">
              <w:rPr>
                <w:rFonts w:ascii="Calibri" w:eastAsia="Times New Roman" w:hAnsi="Calibri" w:cs="Arial"/>
                <w:color w:val="337630" w:themeColor="accent2" w:themeShade="80"/>
              </w:rPr>
              <w:t>Business, Industry, Trade and Energy</w:t>
            </w:r>
          </w:p>
        </w:tc>
        <w:tc>
          <w:tcPr>
            <w:tcW w:w="7119" w:type="dxa"/>
          </w:tcPr>
          <w:p w:rsidR="00D04DE5" w:rsidRPr="003A74E3" w:rsidRDefault="00D04DE5" w:rsidP="00E6133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 Trade Statistics: De-designated as National Statistics. ONS is working towards re-designation at earliest opportunity</w:t>
            </w:r>
          </w:p>
        </w:tc>
        <w:tc>
          <w:tcPr>
            <w:tcW w:w="2268" w:type="dxa"/>
          </w:tcPr>
          <w:p w:rsidR="00D04DE5" w:rsidRPr="003A74E3" w:rsidRDefault="00D04DE5"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w:t>
            </w:r>
          </w:p>
        </w:tc>
        <w:tc>
          <w:tcPr>
            <w:tcW w:w="2325" w:type="dxa"/>
          </w:tcPr>
          <w:p w:rsidR="00D04DE5" w:rsidRPr="003A74E3" w:rsidRDefault="00D04DE5"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Follow up of assessment</w:t>
            </w:r>
          </w:p>
        </w:tc>
      </w:tr>
      <w:tr w:rsidR="00D04DE5"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Times New Roman" w:hAnsi="Calibri" w:cs="Arial"/>
                <w:color w:val="337630" w:themeColor="accent2" w:themeShade="80"/>
                <w:lang w:eastAsia="en-US"/>
              </w:rPr>
            </w:pPr>
          </w:p>
        </w:tc>
        <w:tc>
          <w:tcPr>
            <w:tcW w:w="7119" w:type="dxa"/>
          </w:tcPr>
          <w:p w:rsidR="00D04DE5" w:rsidRPr="003A74E3" w:rsidRDefault="00D04DE5" w:rsidP="00E6133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 Construction Output and Construction Prices Statistics: De-designated as National Statistics. ONS is working towards re-designation at earliest opportunity.</w:t>
            </w:r>
          </w:p>
        </w:tc>
        <w:tc>
          <w:tcPr>
            <w:tcW w:w="2268" w:type="dxa"/>
          </w:tcPr>
          <w:p w:rsidR="00D04DE5" w:rsidRPr="003A74E3" w:rsidRDefault="00D04DE5"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w:t>
            </w:r>
          </w:p>
        </w:tc>
        <w:tc>
          <w:tcPr>
            <w:tcW w:w="2325" w:type="dxa"/>
          </w:tcPr>
          <w:p w:rsidR="00D04DE5" w:rsidRPr="003A74E3" w:rsidRDefault="00D04DE5"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Follow up of assessment</w:t>
            </w:r>
          </w:p>
        </w:tc>
      </w:tr>
      <w:tr w:rsidR="00F07664" w:rsidRPr="003A74E3" w:rsidTr="00FF36AE">
        <w:tc>
          <w:tcPr>
            <w:tcW w:w="3904" w:type="dxa"/>
            <w:vMerge w:val="restart"/>
          </w:tcPr>
          <w:p w:rsidR="0086776E" w:rsidRDefault="00F07664"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3A74E3">
              <w:rPr>
                <w:rFonts w:ascii="Calibri" w:hAnsi="Calibri"/>
                <w:bCs/>
                <w:color w:val="337630" w:themeColor="accent2" w:themeShade="80"/>
              </w:rPr>
              <w:t>Crime and Justice</w:t>
            </w:r>
          </w:p>
        </w:tc>
        <w:tc>
          <w:tcPr>
            <w:tcW w:w="7119"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lang w:val="en-GB"/>
              </w:rPr>
              <w:t xml:space="preserve">Exploring the potential for developing next generation crime statistics in the UK through sharing data to increase value and achieving the most from scarce resources. </w:t>
            </w:r>
            <w:r w:rsidRPr="00F63449">
              <w:rPr>
                <w:rFonts w:ascii="Calibri" w:hAnsi="Calibri"/>
                <w:bCs/>
                <w:color w:val="337630" w:themeColor="accent2" w:themeShade="80"/>
                <w:sz w:val="22"/>
                <w:szCs w:val="22"/>
              </w:rPr>
              <w:t>Round Table meetings in London and Edinburgh</w:t>
            </w:r>
          </w:p>
        </w:tc>
        <w:tc>
          <w:tcPr>
            <w:tcW w:w="2268"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UK</w:t>
            </w:r>
          </w:p>
        </w:tc>
        <w:tc>
          <w:tcPr>
            <w:tcW w:w="2325"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Engagement</w:t>
            </w:r>
            <w:r>
              <w:rPr>
                <w:rFonts w:ascii="Calibri" w:hAnsi="Calibri"/>
                <w:bCs/>
                <w:color w:val="337630" w:themeColor="accent2" w:themeShade="80"/>
                <w:sz w:val="22"/>
                <w:szCs w:val="22"/>
              </w:rPr>
              <w:t xml:space="preserve"> </w:t>
            </w:r>
            <w:r w:rsidRPr="00F63449">
              <w:rPr>
                <w:rFonts w:ascii="Calibri" w:hAnsi="Calibri"/>
                <w:bCs/>
                <w:color w:val="337630" w:themeColor="accent2" w:themeShade="80"/>
                <w:sz w:val="22"/>
                <w:szCs w:val="22"/>
              </w:rPr>
              <w:t>activity linked to 2016/17 Systemic Review</w:t>
            </w:r>
          </w:p>
        </w:tc>
      </w:tr>
      <w:tr w:rsidR="00F07664"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Scottish Crime and Justice Survey: Assessment is underway</w:t>
            </w:r>
          </w:p>
        </w:tc>
        <w:tc>
          <w:tcPr>
            <w:tcW w:w="2268"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Scotland</w:t>
            </w:r>
          </w:p>
        </w:tc>
        <w:tc>
          <w:tcPr>
            <w:tcW w:w="2325"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Assessment</w:t>
            </w:r>
          </w:p>
        </w:tc>
      </w:tr>
      <w:tr w:rsidR="00F07664"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Police Recorded Crime statistics: de-designated as National Statistics and working towards re-designation at earliest opportunity</w:t>
            </w:r>
          </w:p>
        </w:tc>
        <w:tc>
          <w:tcPr>
            <w:tcW w:w="2268"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England and Wales</w:t>
            </w:r>
          </w:p>
        </w:tc>
        <w:tc>
          <w:tcPr>
            <w:tcW w:w="2325" w:type="dxa"/>
          </w:tcPr>
          <w:p w:rsidR="00F07664" w:rsidRPr="00F63449" w:rsidRDefault="00F07664"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F63449">
              <w:rPr>
                <w:rFonts w:ascii="Calibri" w:hAnsi="Calibri"/>
                <w:bCs/>
                <w:color w:val="337630" w:themeColor="accent2" w:themeShade="80"/>
                <w:sz w:val="22"/>
                <w:szCs w:val="22"/>
              </w:rPr>
              <w:t>Follow up of assessment</w:t>
            </w:r>
          </w:p>
        </w:tc>
      </w:tr>
      <w:tr w:rsidR="00F07664" w:rsidRPr="003A74E3" w:rsidTr="00FF36AE">
        <w:tc>
          <w:tcPr>
            <w:tcW w:w="3904" w:type="dxa"/>
            <w:vMerge w:val="restart"/>
          </w:tcPr>
          <w:p w:rsidR="0086776E" w:rsidRDefault="00F07664"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3A74E3">
              <w:rPr>
                <w:rFonts w:ascii="Calibri" w:hAnsi="Calibri"/>
                <w:bCs/>
                <w:color w:val="337630" w:themeColor="accent2" w:themeShade="80"/>
              </w:rPr>
              <w:t>Economy</w:t>
            </w:r>
          </w:p>
        </w:tc>
        <w:tc>
          <w:tcPr>
            <w:tcW w:w="7119" w:type="dxa"/>
          </w:tcPr>
          <w:p w:rsidR="00F07664" w:rsidRPr="003A74E3" w:rsidRDefault="00F07664" w:rsidP="00CC158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Measurement of prices -</w:t>
            </w:r>
            <w:r w:rsidR="006119FF">
              <w:rPr>
                <w:rFonts w:ascii="Calibri" w:hAnsi="Calibri"/>
                <w:bCs/>
                <w:color w:val="337630" w:themeColor="accent2" w:themeShade="80"/>
                <w:sz w:val="22"/>
                <w:szCs w:val="22"/>
              </w:rPr>
              <w:t xml:space="preserve"> </w:t>
            </w:r>
            <w:r w:rsidRPr="003A74E3">
              <w:rPr>
                <w:rFonts w:ascii="Calibri" w:hAnsi="Calibri"/>
                <w:bCs/>
                <w:color w:val="337630" w:themeColor="accent2" w:themeShade="80"/>
                <w:sz w:val="22"/>
                <w:szCs w:val="22"/>
              </w:rPr>
              <w:t>CPIH: Consumer Price Inflation (including a measure of owner occupiers' housing costs): de-designated as National Statistics and ONS working towards re-designation at earliest opportunity</w:t>
            </w:r>
          </w:p>
        </w:tc>
        <w:tc>
          <w:tcPr>
            <w:tcW w:w="2268"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w:t>
            </w:r>
          </w:p>
        </w:tc>
        <w:tc>
          <w:tcPr>
            <w:tcW w:w="2325"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Follow up of Assessment</w:t>
            </w:r>
          </w:p>
        </w:tc>
      </w:tr>
      <w:tr w:rsidR="00F07664"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Measurement of the National Accounts - Purchases Survey and Supply-Use/Input Output Tables: complete a quick review with ONS on readiness to meet Requirements from previous assessment of the Supply Use Tables and Input Output Tables</w:t>
            </w:r>
          </w:p>
        </w:tc>
        <w:tc>
          <w:tcPr>
            <w:tcW w:w="2268"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w:t>
            </w:r>
          </w:p>
        </w:tc>
        <w:tc>
          <w:tcPr>
            <w:tcW w:w="2325"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Follow up of Assessment</w:t>
            </w:r>
          </w:p>
        </w:tc>
      </w:tr>
      <w:tr w:rsidR="00F07664"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F07664" w:rsidRPr="003A74E3" w:rsidRDefault="00F07664" w:rsidP="00E96F7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 xml:space="preserve">Regional GVA statistics (ONS) and  Measurement of the Modern economy-the digital revolution) </w:t>
            </w:r>
          </w:p>
        </w:tc>
        <w:tc>
          <w:tcPr>
            <w:tcW w:w="2268"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UK</w:t>
            </w:r>
          </w:p>
        </w:tc>
        <w:tc>
          <w:tcPr>
            <w:tcW w:w="2325" w:type="dxa"/>
          </w:tcPr>
          <w:p w:rsidR="00F07664" w:rsidRPr="003A74E3" w:rsidRDefault="00F07664"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A74E3">
              <w:rPr>
                <w:rFonts w:ascii="Calibri" w:hAnsi="Calibri"/>
                <w:bCs/>
                <w:color w:val="337630" w:themeColor="accent2" w:themeShade="80"/>
                <w:sz w:val="22"/>
                <w:szCs w:val="22"/>
              </w:rPr>
              <w:t>Assessments</w:t>
            </w:r>
          </w:p>
        </w:tc>
      </w:tr>
      <w:tr w:rsidR="006B088A" w:rsidRPr="003A74E3" w:rsidTr="00FF36AE">
        <w:tc>
          <w:tcPr>
            <w:tcW w:w="3904" w:type="dxa"/>
          </w:tcPr>
          <w:p w:rsidR="0086776E" w:rsidRDefault="006B088A"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
                <w:bCs/>
                <w:color w:val="337630" w:themeColor="accent2" w:themeShade="80"/>
                <w:spacing w:val="-4"/>
                <w:lang w:eastAsia="en-US"/>
              </w:rPr>
            </w:pPr>
            <w:r w:rsidRPr="003A74E3">
              <w:rPr>
                <w:rFonts w:ascii="Calibri" w:hAnsi="Calibri"/>
                <w:bCs/>
                <w:color w:val="337630" w:themeColor="accent2" w:themeShade="80"/>
              </w:rPr>
              <w:t>Health and Social Care</w:t>
            </w:r>
          </w:p>
        </w:tc>
        <w:tc>
          <w:tcPr>
            <w:tcW w:w="7119" w:type="dxa"/>
          </w:tcPr>
          <w:p w:rsidR="006B088A" w:rsidRPr="006B088A" w:rsidRDefault="006B088A" w:rsidP="007C1E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6B088A">
              <w:rPr>
                <w:rFonts w:ascii="Calibri" w:hAnsi="Calibri"/>
                <w:bCs/>
                <w:color w:val="337630" w:themeColor="accent2" w:themeShade="80"/>
                <w:sz w:val="22"/>
                <w:szCs w:val="22"/>
              </w:rPr>
              <w:t xml:space="preserve">Health and </w:t>
            </w:r>
            <w:r w:rsidR="00C92740">
              <w:rPr>
                <w:rFonts w:ascii="Calibri" w:hAnsi="Calibri"/>
                <w:bCs/>
                <w:color w:val="337630" w:themeColor="accent2" w:themeShade="80"/>
                <w:sz w:val="22"/>
                <w:szCs w:val="22"/>
              </w:rPr>
              <w:t xml:space="preserve">Social </w:t>
            </w:r>
            <w:r w:rsidRPr="006B088A">
              <w:rPr>
                <w:rFonts w:ascii="Calibri" w:hAnsi="Calibri"/>
                <w:bCs/>
                <w:color w:val="337630" w:themeColor="accent2" w:themeShade="80"/>
                <w:sz w:val="22"/>
                <w:szCs w:val="22"/>
              </w:rPr>
              <w:t>Care Statistics</w:t>
            </w:r>
            <w:r>
              <w:rPr>
                <w:rFonts w:ascii="Calibri" w:hAnsi="Calibri"/>
                <w:bCs/>
                <w:color w:val="337630" w:themeColor="accent2" w:themeShade="80"/>
                <w:sz w:val="22"/>
                <w:szCs w:val="22"/>
              </w:rPr>
              <w:t xml:space="preserve"> Systemic Review</w:t>
            </w:r>
            <w:r w:rsidRPr="006B088A">
              <w:rPr>
                <w:rFonts w:ascii="Calibri" w:hAnsi="Calibri"/>
                <w:bCs/>
                <w:color w:val="337630" w:themeColor="accent2" w:themeShade="80"/>
                <w:sz w:val="22"/>
                <w:szCs w:val="22"/>
              </w:rPr>
              <w:t xml:space="preserve">: This is a continuation of the </w:t>
            </w:r>
            <w:r>
              <w:rPr>
                <w:rFonts w:ascii="Calibri" w:hAnsi="Calibri"/>
                <w:bCs/>
                <w:color w:val="337630" w:themeColor="accent2" w:themeShade="80"/>
                <w:sz w:val="22"/>
                <w:szCs w:val="22"/>
              </w:rPr>
              <w:t>R</w:t>
            </w:r>
            <w:r w:rsidRPr="006B088A">
              <w:rPr>
                <w:rFonts w:ascii="Calibri" w:hAnsi="Calibri"/>
                <w:bCs/>
                <w:color w:val="337630" w:themeColor="accent2" w:themeShade="80"/>
                <w:sz w:val="22"/>
                <w:szCs w:val="22"/>
              </w:rPr>
              <w:t xml:space="preserve">eview that started in 2015. There will be further events in 2017 to drive improvements in health and </w:t>
            </w:r>
            <w:r w:rsidR="00C92740">
              <w:rPr>
                <w:rFonts w:ascii="Calibri" w:hAnsi="Calibri"/>
                <w:bCs/>
                <w:color w:val="337630" w:themeColor="accent2" w:themeShade="80"/>
                <w:sz w:val="22"/>
                <w:szCs w:val="22"/>
              </w:rPr>
              <w:t xml:space="preserve">social </w:t>
            </w:r>
            <w:r w:rsidRPr="006B088A">
              <w:rPr>
                <w:rFonts w:ascii="Calibri" w:hAnsi="Calibri"/>
                <w:bCs/>
                <w:color w:val="337630" w:themeColor="accent2" w:themeShade="80"/>
                <w:sz w:val="22"/>
                <w:szCs w:val="22"/>
              </w:rPr>
              <w:t>care statistics, with statistics producers increasingly taking on leadership and the Office for Statistics Regulation stepping back as we see that happen</w:t>
            </w:r>
            <w:r>
              <w:rPr>
                <w:rFonts w:ascii="Calibri" w:hAnsi="Calibri"/>
                <w:bCs/>
                <w:color w:val="337630" w:themeColor="accent2" w:themeShade="80"/>
                <w:sz w:val="22"/>
                <w:szCs w:val="22"/>
              </w:rPr>
              <w:t xml:space="preserve">. </w:t>
            </w:r>
          </w:p>
        </w:tc>
        <w:tc>
          <w:tcPr>
            <w:tcW w:w="2268" w:type="dxa"/>
          </w:tcPr>
          <w:p w:rsidR="006B088A" w:rsidRPr="006B088A" w:rsidRDefault="006B088A"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6B088A">
              <w:rPr>
                <w:rFonts w:ascii="Calibri" w:hAnsi="Calibri"/>
                <w:bCs/>
                <w:color w:val="337630" w:themeColor="accent2" w:themeShade="80"/>
                <w:sz w:val="22"/>
                <w:szCs w:val="22"/>
              </w:rPr>
              <w:t>England and UK</w:t>
            </w:r>
          </w:p>
        </w:tc>
        <w:tc>
          <w:tcPr>
            <w:tcW w:w="2325" w:type="dxa"/>
          </w:tcPr>
          <w:p w:rsidR="006B088A" w:rsidRPr="006B088A" w:rsidRDefault="006B088A"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6B088A">
              <w:rPr>
                <w:rFonts w:ascii="Calibri" w:hAnsi="Calibri"/>
                <w:bCs/>
                <w:color w:val="337630" w:themeColor="accent2" w:themeShade="80"/>
                <w:sz w:val="22"/>
                <w:szCs w:val="22"/>
              </w:rPr>
              <w:t>Systemic Review</w:t>
            </w:r>
          </w:p>
        </w:tc>
      </w:tr>
      <w:tr w:rsidR="003C434B" w:rsidRPr="003A74E3" w:rsidTr="00FF36AE">
        <w:tc>
          <w:tcPr>
            <w:tcW w:w="3904" w:type="dxa"/>
            <w:vMerge w:val="restart"/>
          </w:tcPr>
          <w:p w:rsidR="0086776E" w:rsidRDefault="003C434B"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
                <w:bCs/>
                <w:color w:val="337630" w:themeColor="accent2" w:themeShade="80"/>
                <w:spacing w:val="-4"/>
                <w:lang w:eastAsia="en-US"/>
              </w:rPr>
            </w:pPr>
            <w:r w:rsidRPr="003A74E3">
              <w:rPr>
                <w:rFonts w:ascii="Calibri" w:hAnsi="Calibri"/>
                <w:bCs/>
                <w:color w:val="337630" w:themeColor="accent2" w:themeShade="80"/>
              </w:rPr>
              <w:t>Housing, Planning and Local Services</w:t>
            </w:r>
          </w:p>
        </w:tc>
        <w:tc>
          <w:tcPr>
            <w:tcW w:w="7119"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Housing statistics systemic review:  this review of the public value of housing statistics in the UK is underway with strong engagement with users across the devolved governments.</w:t>
            </w:r>
          </w:p>
        </w:tc>
        <w:tc>
          <w:tcPr>
            <w:tcW w:w="2268"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UK</w:t>
            </w:r>
          </w:p>
        </w:tc>
        <w:tc>
          <w:tcPr>
            <w:tcW w:w="2325"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Systemic Review</w:t>
            </w:r>
          </w:p>
        </w:tc>
      </w:tr>
      <w:tr w:rsidR="003C434B"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3C434B" w:rsidRPr="003C434B" w:rsidRDefault="003C434B" w:rsidP="00535A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UK Index Phase 2 Assessment (Land Registry and partners): This is phase 2 of the assessment of the new UK House Price Index (phase 1 reported on the development phase). The Northern Ireland statistics are being assessed at the same time, at the request of the producer body.</w:t>
            </w:r>
          </w:p>
        </w:tc>
        <w:tc>
          <w:tcPr>
            <w:tcW w:w="2268" w:type="dxa"/>
          </w:tcPr>
          <w:p w:rsidR="003C434B" w:rsidRPr="003C434B" w:rsidRDefault="003C434B" w:rsidP="00535A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UK</w:t>
            </w:r>
            <w:r w:rsidR="00535A98">
              <w:rPr>
                <w:rFonts w:ascii="Calibri" w:hAnsi="Calibri"/>
                <w:bCs/>
                <w:color w:val="337630" w:themeColor="accent2" w:themeShade="80"/>
                <w:sz w:val="22"/>
                <w:szCs w:val="22"/>
              </w:rPr>
              <w:t>,</w:t>
            </w:r>
            <w:r w:rsidRPr="003C434B">
              <w:rPr>
                <w:rFonts w:ascii="Calibri" w:hAnsi="Calibri"/>
                <w:bCs/>
                <w:color w:val="337630" w:themeColor="accent2" w:themeShade="80"/>
                <w:sz w:val="22"/>
                <w:szCs w:val="22"/>
              </w:rPr>
              <w:t xml:space="preserve"> Northern Ireland</w:t>
            </w:r>
          </w:p>
        </w:tc>
        <w:tc>
          <w:tcPr>
            <w:tcW w:w="2325"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Assessments</w:t>
            </w:r>
          </w:p>
        </w:tc>
      </w:tr>
      <w:tr w:rsidR="003C434B" w:rsidRPr="003A74E3" w:rsidTr="00FF36AE">
        <w:tc>
          <w:tcPr>
            <w:tcW w:w="3904" w:type="dxa"/>
            <w:vMerge/>
          </w:tcPr>
          <w:p w:rsidR="0086776E" w:rsidRDefault="0086776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Homelessness and Rough Sleeping and Traveller Caravan statistics (DCLG): Follow up of the assessment of homelessness and rough sleeping statistics and also the Traveller Caravan statistics. At the heart of this work is the need for a coherent measure of ‘homelessness’.</w:t>
            </w:r>
          </w:p>
        </w:tc>
        <w:tc>
          <w:tcPr>
            <w:tcW w:w="2268"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England</w:t>
            </w:r>
          </w:p>
        </w:tc>
        <w:tc>
          <w:tcPr>
            <w:tcW w:w="2325" w:type="dxa"/>
          </w:tcPr>
          <w:p w:rsidR="003C434B" w:rsidRPr="003C434B" w:rsidRDefault="003C434B"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 xml:space="preserve">Follow up of Assessment </w:t>
            </w:r>
          </w:p>
        </w:tc>
      </w:tr>
      <w:tr w:rsidR="00535A98" w:rsidRPr="003A74E3" w:rsidTr="00FF36AE">
        <w:tc>
          <w:tcPr>
            <w:tcW w:w="3904" w:type="dxa"/>
            <w:vMerge w:val="restart"/>
          </w:tcPr>
          <w:p w:rsid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3A74E3">
              <w:rPr>
                <w:rFonts w:ascii="Calibri" w:hAnsi="Calibri"/>
                <w:bCs/>
                <w:color w:val="337630" w:themeColor="accent2" w:themeShade="80"/>
              </w:rPr>
              <w:t>Labour Market and Welfare</w:t>
            </w:r>
          </w:p>
        </w:tc>
        <w:tc>
          <w:tcPr>
            <w:tcW w:w="7119" w:type="dxa"/>
          </w:tcPr>
          <w:p w:rsidR="00535A98" w:rsidRPr="003C434B"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 xml:space="preserve">Statistics on National Insurance Number Allocations to Adult Overseas Nationals: NINos are a key data source for estimating migration (and so are also important to the Population theme). The National Statistics status has been temporarily suspended while DWP meets the Requirements of assessment. </w:t>
            </w:r>
          </w:p>
        </w:tc>
        <w:tc>
          <w:tcPr>
            <w:tcW w:w="2268" w:type="dxa"/>
          </w:tcPr>
          <w:p w:rsidR="00535A98" w:rsidRPr="003C434B"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UK</w:t>
            </w:r>
          </w:p>
        </w:tc>
        <w:tc>
          <w:tcPr>
            <w:tcW w:w="2325" w:type="dxa"/>
          </w:tcPr>
          <w:p w:rsidR="00535A98" w:rsidRPr="003C434B"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Follow up of assessment</w:t>
            </w:r>
          </w:p>
        </w:tc>
      </w:tr>
      <w:tr w:rsidR="00535A98" w:rsidRPr="003A74E3" w:rsidTr="00FF36AE">
        <w:tc>
          <w:tcPr>
            <w:tcW w:w="3904" w:type="dxa"/>
            <w:vMerge/>
          </w:tcPr>
          <w:p w:rsid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7119" w:type="dxa"/>
          </w:tcPr>
          <w:p w:rsidR="00535A98" w:rsidRPr="003C434B"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Income and Earnings Review:</w:t>
            </w:r>
            <w:r w:rsidRPr="003C434B">
              <w:rPr>
                <w:color w:val="337630" w:themeColor="accent2" w:themeShade="80"/>
              </w:rPr>
              <w:t xml:space="preserve"> </w:t>
            </w:r>
            <w:r w:rsidRPr="003C434B">
              <w:rPr>
                <w:rFonts w:ascii="Calibri" w:hAnsi="Calibri"/>
                <w:bCs/>
                <w:color w:val="337630" w:themeColor="accent2" w:themeShade="80"/>
                <w:sz w:val="22"/>
                <w:szCs w:val="22"/>
              </w:rPr>
              <w:t>Follow-up on recommendations from the Income and Earnings systemic review.  In particular, ensuring that ONS provides sufficient responses in regard to obtaining better data on income from self employment, and more progress on the web-based hub for income and earnings data.</w:t>
            </w:r>
          </w:p>
        </w:tc>
        <w:tc>
          <w:tcPr>
            <w:tcW w:w="2268" w:type="dxa"/>
          </w:tcPr>
          <w:p w:rsidR="00535A98" w:rsidRPr="003C434B"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UK</w:t>
            </w:r>
          </w:p>
        </w:tc>
        <w:tc>
          <w:tcPr>
            <w:tcW w:w="2325" w:type="dxa"/>
          </w:tcPr>
          <w:p w:rsidR="00535A98" w:rsidRPr="003C434B"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3C434B">
              <w:rPr>
                <w:rFonts w:ascii="Calibri" w:hAnsi="Calibri"/>
                <w:bCs/>
                <w:color w:val="337630" w:themeColor="accent2" w:themeShade="80"/>
                <w:sz w:val="22"/>
                <w:szCs w:val="22"/>
              </w:rPr>
              <w:t>Follow up of Systemic Review</w:t>
            </w:r>
          </w:p>
        </w:tc>
      </w:tr>
      <w:tr w:rsidR="00B12F11" w:rsidRPr="003A74E3" w:rsidTr="00FF36AE">
        <w:tc>
          <w:tcPr>
            <w:tcW w:w="3904" w:type="dxa"/>
          </w:tcPr>
          <w:p w:rsidR="0086776E" w:rsidRDefault="00B12F11"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3A74E3">
              <w:rPr>
                <w:rFonts w:ascii="Calibri" w:eastAsia="Times New Roman" w:hAnsi="Calibri" w:cs="Arial"/>
                <w:color w:val="337630" w:themeColor="accent2" w:themeShade="80"/>
              </w:rPr>
              <w:lastRenderedPageBreak/>
              <w:t>Security, Defence and International Relations</w:t>
            </w:r>
          </w:p>
        </w:tc>
        <w:tc>
          <w:tcPr>
            <w:tcW w:w="7119" w:type="dxa"/>
          </w:tcPr>
          <w:p w:rsidR="00B12F11" w:rsidRPr="00B12F11" w:rsidRDefault="00B12F11" w:rsidP="00B12F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B12F11">
              <w:rPr>
                <w:rFonts w:ascii="Calibri" w:hAnsi="Calibri"/>
                <w:bCs/>
                <w:color w:val="337630" w:themeColor="accent2" w:themeShade="80"/>
                <w:sz w:val="22"/>
                <w:szCs w:val="22"/>
              </w:rPr>
              <w:t xml:space="preserve">Department for International Development statistics: follow up of assessment and support for widened voluntary compliance with the </w:t>
            </w:r>
            <w:r w:rsidRPr="00B12F11">
              <w:rPr>
                <w:rFonts w:ascii="Calibri" w:hAnsi="Calibri"/>
                <w:bCs/>
                <w:i/>
                <w:color w:val="337630" w:themeColor="accent2" w:themeShade="80"/>
                <w:sz w:val="22"/>
                <w:szCs w:val="22"/>
              </w:rPr>
              <w:t>Code of Practice for Official Statistics</w:t>
            </w:r>
          </w:p>
        </w:tc>
        <w:tc>
          <w:tcPr>
            <w:tcW w:w="2268" w:type="dxa"/>
          </w:tcPr>
          <w:p w:rsidR="00B12F11" w:rsidRPr="00B12F11" w:rsidRDefault="00B12F11" w:rsidP="004757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B12F11">
              <w:rPr>
                <w:rFonts w:ascii="Calibri" w:hAnsi="Calibri"/>
                <w:bCs/>
                <w:color w:val="337630" w:themeColor="accent2" w:themeShade="80"/>
                <w:sz w:val="22"/>
                <w:szCs w:val="22"/>
              </w:rPr>
              <w:t>UK</w:t>
            </w:r>
          </w:p>
        </w:tc>
        <w:tc>
          <w:tcPr>
            <w:tcW w:w="2325" w:type="dxa"/>
          </w:tcPr>
          <w:p w:rsidR="00B12F11" w:rsidRPr="00B12F11" w:rsidRDefault="00B12F11" w:rsidP="004757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B12F11">
              <w:rPr>
                <w:rFonts w:ascii="Calibri" w:hAnsi="Calibri"/>
                <w:bCs/>
                <w:color w:val="337630" w:themeColor="accent2" w:themeShade="80"/>
                <w:sz w:val="22"/>
                <w:szCs w:val="22"/>
              </w:rPr>
              <w:t>Follow up of assessment</w:t>
            </w:r>
          </w:p>
        </w:tc>
      </w:tr>
      <w:tr w:rsidR="00FF36AE" w:rsidRPr="003A74E3" w:rsidTr="00FF36AE">
        <w:tc>
          <w:tcPr>
            <w:tcW w:w="3904" w:type="dxa"/>
          </w:tcPr>
          <w:p w:rsidR="0086776E" w:rsidRDefault="00FF36AE"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3A74E3">
              <w:rPr>
                <w:rFonts w:ascii="Calibri" w:hAnsi="Calibri"/>
                <w:bCs/>
                <w:color w:val="337630" w:themeColor="accent2" w:themeShade="80"/>
              </w:rPr>
              <w:t>Travel</w:t>
            </w:r>
            <w:r>
              <w:rPr>
                <w:rFonts w:ascii="Calibri" w:hAnsi="Calibri"/>
                <w:bCs/>
                <w:color w:val="337630" w:themeColor="accent2" w:themeShade="80"/>
              </w:rPr>
              <w:t xml:space="preserve">, </w:t>
            </w:r>
            <w:r w:rsidRPr="003A74E3">
              <w:rPr>
                <w:rFonts w:ascii="Calibri" w:hAnsi="Calibri"/>
                <w:bCs/>
                <w:color w:val="337630" w:themeColor="accent2" w:themeShade="80"/>
              </w:rPr>
              <w:t xml:space="preserve"> Transport</w:t>
            </w:r>
            <w:r>
              <w:rPr>
                <w:rFonts w:ascii="Calibri" w:hAnsi="Calibri"/>
                <w:bCs/>
                <w:color w:val="337630" w:themeColor="accent2" w:themeShade="80"/>
              </w:rPr>
              <w:t xml:space="preserve"> and Tourism</w:t>
            </w:r>
          </w:p>
        </w:tc>
        <w:tc>
          <w:tcPr>
            <w:tcW w:w="7119" w:type="dxa"/>
          </w:tcPr>
          <w:p w:rsidR="00FF36AE" w:rsidRPr="00406F65" w:rsidRDefault="00FF36AE" w:rsidP="00406F65">
            <w:pPr>
              <w:pBdr>
                <w:top w:val="none" w:sz="0" w:space="0" w:color="auto"/>
                <w:left w:val="none" w:sz="0" w:space="0" w:color="auto"/>
                <w:bottom w:val="none" w:sz="0" w:space="0" w:color="auto"/>
                <w:right w:val="none" w:sz="0" w:space="0" w:color="auto"/>
                <w:between w:val="none" w:sz="0" w:space="0" w:color="auto"/>
                <w:bar w:val="none" w:sz="0" w:color="auto"/>
              </w:pBdr>
              <w:ind w:firstLine="34"/>
              <w:rPr>
                <w:rFonts w:ascii="Calibri" w:hAnsi="Calibri"/>
                <w:bCs/>
                <w:color w:val="337630" w:themeColor="accent2" w:themeShade="80"/>
                <w:sz w:val="22"/>
                <w:szCs w:val="22"/>
              </w:rPr>
            </w:pPr>
            <w:r w:rsidRPr="00406F65">
              <w:rPr>
                <w:rFonts w:ascii="Calibri" w:hAnsi="Calibri"/>
                <w:bCs/>
                <w:color w:val="337630" w:themeColor="accent2" w:themeShade="80"/>
                <w:sz w:val="22"/>
                <w:szCs w:val="22"/>
              </w:rPr>
              <w:t>Northern Ireland Tourism Assessment</w:t>
            </w:r>
          </w:p>
        </w:tc>
        <w:tc>
          <w:tcPr>
            <w:tcW w:w="2268" w:type="dxa"/>
          </w:tcPr>
          <w:p w:rsidR="00FF36AE" w:rsidRPr="00406F65" w:rsidRDefault="00FF36AE"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406F65">
              <w:rPr>
                <w:rFonts w:ascii="Calibri" w:hAnsi="Calibri"/>
                <w:bCs/>
                <w:color w:val="337630" w:themeColor="accent2" w:themeShade="80"/>
                <w:sz w:val="22"/>
                <w:szCs w:val="22"/>
              </w:rPr>
              <w:t>Northern Ireland</w:t>
            </w:r>
          </w:p>
        </w:tc>
        <w:tc>
          <w:tcPr>
            <w:tcW w:w="2325" w:type="dxa"/>
          </w:tcPr>
          <w:p w:rsidR="00FF36AE" w:rsidRPr="00406F65" w:rsidRDefault="00FF36AE"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406F65">
              <w:rPr>
                <w:rFonts w:ascii="Calibri" w:hAnsi="Calibri"/>
                <w:bCs/>
                <w:color w:val="337630" w:themeColor="accent2" w:themeShade="80"/>
                <w:sz w:val="22"/>
                <w:szCs w:val="22"/>
              </w:rPr>
              <w:t>Follow up of assessment</w:t>
            </w:r>
          </w:p>
        </w:tc>
      </w:tr>
    </w:tbl>
    <w:p w:rsidR="003420CB" w:rsidRDefault="003420CB">
      <w:pPr>
        <w:pStyle w:val="Body"/>
        <w:rPr>
          <w:rFonts w:ascii="Calibri" w:hAnsi="Calibri"/>
          <w:b/>
          <w:bCs/>
          <w:color w:val="337630" w:themeColor="accent2" w:themeShade="80"/>
          <w:sz w:val="24"/>
          <w:szCs w:val="24"/>
        </w:rPr>
      </w:pPr>
    </w:p>
    <w:p w:rsidR="00CB2AFC" w:rsidRDefault="00247F92">
      <w:pPr>
        <w:pStyle w:val="Body"/>
        <w:rPr>
          <w:rFonts w:ascii="Calibri" w:hAnsi="Calibri"/>
          <w:b/>
          <w:bCs/>
          <w:color w:val="337630" w:themeColor="accent2" w:themeShade="80"/>
          <w:sz w:val="24"/>
          <w:szCs w:val="24"/>
        </w:rPr>
      </w:pPr>
      <w:r>
        <w:rPr>
          <w:rFonts w:ascii="Calibri" w:hAnsi="Calibri"/>
          <w:b/>
          <w:bCs/>
          <w:color w:val="337630" w:themeColor="accent2" w:themeShade="80"/>
          <w:sz w:val="24"/>
          <w:szCs w:val="24"/>
        </w:rPr>
        <w:t>Section 2: Potential priorities for 2017/18: we welcome your views</w:t>
      </w:r>
    </w:p>
    <w:p w:rsidR="00535A98" w:rsidRPr="00535A98" w:rsidRDefault="00535A98">
      <w:pPr>
        <w:pStyle w:val="Body"/>
        <w:rPr>
          <w:rFonts w:ascii="Calibri" w:hAnsi="Calibri"/>
          <w:bCs/>
          <w:color w:val="337630" w:themeColor="accent2" w:themeShade="80"/>
        </w:rPr>
      </w:pPr>
      <w:r w:rsidRPr="00535A98">
        <w:rPr>
          <w:rFonts w:ascii="Calibri" w:hAnsi="Calibri"/>
          <w:bCs/>
          <w:color w:val="337630" w:themeColor="accent2" w:themeShade="80"/>
        </w:rPr>
        <w:t xml:space="preserve">In addition to the proposed priorities in the table below, </w:t>
      </w:r>
      <w:r w:rsidRPr="00535A98">
        <w:rPr>
          <w:rFonts w:ascii="Calibri" w:eastAsia="Times New Roman" w:hAnsi="Calibri"/>
          <w:color w:val="337630" w:themeColor="accent2" w:themeShade="80"/>
        </w:rPr>
        <w:t>we recognise that leaving the European Union represents an opportunity and a challenge across the statistics system and we will adopt a watching brief to see how the system responds.</w:t>
      </w:r>
    </w:p>
    <w:tbl>
      <w:tblPr>
        <w:tblStyle w:val="TableGrid"/>
        <w:tblW w:w="0" w:type="auto"/>
        <w:tblLayout w:type="fixed"/>
        <w:tblLook w:val="04A0"/>
      </w:tblPr>
      <w:tblGrid>
        <w:gridCol w:w="2244"/>
        <w:gridCol w:w="3370"/>
        <w:gridCol w:w="1440"/>
        <w:gridCol w:w="1701"/>
        <w:gridCol w:w="5391"/>
      </w:tblGrid>
      <w:tr w:rsidR="00535A98" w:rsidRPr="00535A98" w:rsidTr="00A43506">
        <w:tc>
          <w:tcPr>
            <w:tcW w:w="2244" w:type="dxa"/>
            <w:shd w:val="clear" w:color="auto" w:fill="E6F4E5" w:themeFill="accent2" w:themeFillTint="33"/>
          </w:tcPr>
          <w:p w:rsidR="00535A98" w:rsidRPr="00AE3FE1" w:rsidRDefault="002C0AD9" w:rsidP="00AE3FE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0000FF"/>
                <w:sz w:val="22"/>
                <w:szCs w:val="22"/>
              </w:rPr>
            </w:pPr>
            <w:hyperlink r:id="rId8" w:history="1">
              <w:r w:rsidR="00535A98" w:rsidRPr="00AE3FE1">
                <w:rPr>
                  <w:rStyle w:val="Hyperlink"/>
                  <w:rFonts w:ascii="Calibri" w:hAnsi="Calibri"/>
                  <w:b/>
                  <w:bCs/>
                  <w:color w:val="0000FF"/>
                  <w:sz w:val="22"/>
                  <w:szCs w:val="22"/>
                </w:rPr>
                <w:t>Theme</w:t>
              </w:r>
            </w:hyperlink>
            <w:r w:rsidR="00535A98" w:rsidRPr="00AE3FE1">
              <w:rPr>
                <w:rFonts w:ascii="Calibri" w:hAnsi="Calibri"/>
                <w:b/>
                <w:bCs/>
                <w:color w:val="0000FF"/>
                <w:sz w:val="22"/>
                <w:szCs w:val="22"/>
              </w:rPr>
              <w:t xml:space="preserve"> </w:t>
            </w:r>
          </w:p>
        </w:tc>
        <w:tc>
          <w:tcPr>
            <w:tcW w:w="3370" w:type="dxa"/>
            <w:shd w:val="clear" w:color="auto" w:fill="E6F4E5" w:themeFill="accent2" w:themeFillTint="33"/>
          </w:tcPr>
          <w:p w:rsidR="00535A98" w:rsidRPr="00535A98" w:rsidRDefault="00535A98" w:rsidP="0011501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535A98">
              <w:rPr>
                <w:rFonts w:ascii="Calibri" w:hAnsi="Calibri"/>
                <w:b/>
                <w:bCs/>
                <w:color w:val="337630" w:themeColor="accent2" w:themeShade="80"/>
                <w:sz w:val="22"/>
                <w:szCs w:val="22"/>
              </w:rPr>
              <w:t>Project</w:t>
            </w:r>
          </w:p>
        </w:tc>
        <w:tc>
          <w:tcPr>
            <w:tcW w:w="1440" w:type="dxa"/>
            <w:shd w:val="clear" w:color="auto" w:fill="E6F4E5" w:themeFill="accent2" w:themeFillTint="33"/>
          </w:tcPr>
          <w:p w:rsidR="00535A98" w:rsidRPr="00535A98" w:rsidRDefault="00535A98" w:rsidP="00BC75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535A98">
              <w:rPr>
                <w:rFonts w:ascii="Calibri" w:hAnsi="Calibri"/>
                <w:b/>
                <w:bCs/>
                <w:color w:val="337630" w:themeColor="accent2" w:themeShade="80"/>
                <w:sz w:val="22"/>
                <w:szCs w:val="22"/>
              </w:rPr>
              <w:t>Geographical Coverage</w:t>
            </w:r>
          </w:p>
        </w:tc>
        <w:tc>
          <w:tcPr>
            <w:tcW w:w="1701" w:type="dxa"/>
            <w:shd w:val="clear" w:color="auto" w:fill="E6F4E5" w:themeFill="accent2" w:themeFillTint="33"/>
          </w:tcPr>
          <w:p w:rsidR="00535A98" w:rsidRPr="00535A98" w:rsidRDefault="00535A98" w:rsidP="0011501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535A98">
              <w:rPr>
                <w:rFonts w:ascii="Calibri" w:hAnsi="Calibri"/>
                <w:b/>
                <w:bCs/>
                <w:color w:val="337630" w:themeColor="accent2" w:themeShade="80"/>
                <w:sz w:val="22"/>
                <w:szCs w:val="22"/>
              </w:rPr>
              <w:t>Type</w:t>
            </w:r>
          </w:p>
        </w:tc>
        <w:tc>
          <w:tcPr>
            <w:tcW w:w="5391" w:type="dxa"/>
            <w:shd w:val="clear" w:color="auto" w:fill="E6F4E5" w:themeFill="accent2" w:themeFillTint="33"/>
          </w:tcPr>
          <w:p w:rsidR="00535A98" w:rsidRPr="00535A98" w:rsidRDefault="00535A98" w:rsidP="0011501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bCs/>
                <w:color w:val="337630" w:themeColor="accent2" w:themeShade="80"/>
                <w:sz w:val="22"/>
                <w:szCs w:val="22"/>
              </w:rPr>
            </w:pPr>
            <w:r w:rsidRPr="00535A98">
              <w:rPr>
                <w:rFonts w:ascii="Calibri" w:hAnsi="Calibri"/>
                <w:b/>
                <w:bCs/>
                <w:color w:val="337630" w:themeColor="accent2" w:themeShade="80"/>
                <w:sz w:val="22"/>
                <w:szCs w:val="22"/>
              </w:rPr>
              <w:t>Your views: Please offer comments here on whether you agree with these priorities for your areas of interest, and if not please explain why</w:t>
            </w:r>
          </w:p>
        </w:tc>
      </w:tr>
      <w:tr w:rsidR="00535A98" w:rsidRPr="00535A98" w:rsidTr="00A43506">
        <w:tc>
          <w:tcPr>
            <w:tcW w:w="2244"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Agriculture and Environment</w:t>
            </w:r>
          </w:p>
        </w:tc>
        <w:tc>
          <w:tcPr>
            <w:tcW w:w="3370" w:type="dxa"/>
          </w:tcPr>
          <w:p w:rsidR="00535A98" w:rsidRPr="00535A98" w:rsidRDefault="00535A98" w:rsidP="00CF74A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eastAsia="Times New Roman" w:hAnsi="Calibri"/>
                <w:color w:val="337630" w:themeColor="accent2" w:themeShade="80"/>
                <w:sz w:val="22"/>
                <w:szCs w:val="22"/>
              </w:rPr>
              <w:t>Monitor work within Defra to improve its portfolio of statistical outputs and open data</w:t>
            </w:r>
          </w:p>
        </w:tc>
        <w:tc>
          <w:tcPr>
            <w:tcW w:w="1440" w:type="dxa"/>
          </w:tcPr>
          <w:p w:rsidR="00535A98" w:rsidRPr="00535A98" w:rsidRDefault="00535A98" w:rsidP="00CF74A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England</w:t>
            </w:r>
          </w:p>
        </w:tc>
        <w:tc>
          <w:tcPr>
            <w:tcW w:w="1701" w:type="dxa"/>
          </w:tcPr>
          <w:p w:rsidR="00535A98" w:rsidRPr="00535A98" w:rsidRDefault="00535A98" w:rsidP="00CF74A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Watching Brief</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eastAsia="Times New Roman" w:hAnsi="Calibri" w:cs="Arial"/>
                <w:color w:val="337630" w:themeColor="accent2" w:themeShade="80"/>
              </w:rPr>
              <w:t>Business, Industry, Trade and Energy</w:t>
            </w:r>
          </w:p>
        </w:tc>
        <w:tc>
          <w:tcPr>
            <w:tcW w:w="3370" w:type="dxa"/>
          </w:tcPr>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p w:rsidR="00535A98" w:rsidRPr="00535A98" w:rsidRDefault="00535A98" w:rsidP="00D04DE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17" w:hanging="283"/>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UK Trade in Goods statistics (HMRC) and International Trade in Services (ONS) statistics: key inputs to the UK Trade estimates </w:t>
            </w:r>
          </w:p>
          <w:p w:rsidR="00535A98" w:rsidRPr="00535A98" w:rsidRDefault="00535A98" w:rsidP="00D04DE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17" w:hanging="283"/>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Business Investment statistics (ONS)</w:t>
            </w:r>
          </w:p>
          <w:p w:rsidR="00535A98" w:rsidRPr="00535A98" w:rsidRDefault="00535A98" w:rsidP="003A74E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17" w:hanging="283"/>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Energy and Climate Change statistics – follow up to AR283 (BEIS)</w:t>
            </w:r>
          </w:p>
        </w:tc>
        <w:tc>
          <w:tcPr>
            <w:tcW w:w="1440" w:type="dxa"/>
          </w:tcPr>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tc>
        <w:tc>
          <w:tcPr>
            <w:tcW w:w="1701" w:type="dxa"/>
          </w:tcPr>
          <w:p w:rsidR="00535A98" w:rsidRPr="00535A98" w:rsidRDefault="00535A98" w:rsidP="00D5056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eastAsia="Times New Roman" w:hAnsi="Calibri" w:cs="Arial"/>
                <w:color w:val="337630" w:themeColor="accent2" w:themeShade="80"/>
              </w:rPr>
              <w:t>Children, Education and Skills</w:t>
            </w:r>
          </w:p>
        </w:tc>
        <w:tc>
          <w:tcPr>
            <w:tcW w:w="3370" w:type="dxa"/>
          </w:tcPr>
          <w:p w:rsidR="00535A98" w:rsidRPr="00535A98" w:rsidRDefault="00535A98" w:rsidP="00035BF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 Scottish Funding Council – College Performance Indicators</w:t>
            </w:r>
          </w:p>
        </w:tc>
        <w:tc>
          <w:tcPr>
            <w:tcW w:w="1440" w:type="dxa"/>
          </w:tcPr>
          <w:p w:rsidR="00535A98" w:rsidRPr="00535A98" w:rsidRDefault="00535A98"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Scotland</w:t>
            </w:r>
          </w:p>
          <w:p w:rsidR="00535A98" w:rsidRPr="00535A98" w:rsidRDefault="00535A98"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tc>
        <w:tc>
          <w:tcPr>
            <w:tcW w:w="1701" w:type="dxa"/>
          </w:tcPr>
          <w:p w:rsidR="00535A98" w:rsidRPr="00535A98" w:rsidRDefault="00535A98"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035B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rPr>
            </w:pPr>
            <w:r w:rsidRPr="00535A98">
              <w:rPr>
                <w:rFonts w:ascii="Calibri" w:hAnsi="Calibri"/>
                <w:bCs/>
                <w:color w:val="337630" w:themeColor="accent2" w:themeShade="80"/>
              </w:rPr>
              <w:t>Two assessments with DfENI:</w:t>
            </w:r>
          </w:p>
          <w:p w:rsidR="00535A98" w:rsidRPr="00535A98" w:rsidRDefault="00535A98" w:rsidP="00035BFF">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1" w:hanging="284"/>
              <w:rPr>
                <w:rFonts w:ascii="Calibri" w:hAnsi="Calibri"/>
                <w:bCs/>
                <w:color w:val="337630" w:themeColor="accent2" w:themeShade="80"/>
              </w:rPr>
            </w:pPr>
            <w:r w:rsidRPr="00535A98">
              <w:rPr>
                <w:rFonts w:ascii="Calibri" w:hAnsi="Calibri"/>
                <w:bCs/>
                <w:color w:val="337630" w:themeColor="accent2" w:themeShade="80"/>
              </w:rPr>
              <w:t>Further Education Activity in NI– Department for the Economy</w:t>
            </w:r>
          </w:p>
          <w:p w:rsidR="00535A98" w:rsidRPr="00535A98" w:rsidRDefault="00535A98" w:rsidP="00035BFF">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31" w:hanging="284"/>
              <w:rPr>
                <w:rFonts w:ascii="Calibri" w:hAnsi="Calibri"/>
                <w:bCs/>
                <w:color w:val="337630" w:themeColor="accent2" w:themeShade="80"/>
              </w:rPr>
            </w:pPr>
            <w:r w:rsidRPr="00535A98">
              <w:rPr>
                <w:rFonts w:ascii="Calibri" w:hAnsi="Calibri"/>
                <w:bCs/>
                <w:color w:val="337630" w:themeColor="accent2" w:themeShade="80"/>
              </w:rPr>
              <w:lastRenderedPageBreak/>
              <w:t>Essential Skills Enrolments and Outcomes</w:t>
            </w:r>
          </w:p>
        </w:tc>
        <w:tc>
          <w:tcPr>
            <w:tcW w:w="1440"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r w:rsidRPr="00535A98">
              <w:rPr>
                <w:rFonts w:ascii="Calibri" w:hAnsi="Calibri"/>
                <w:bCs/>
                <w:color w:val="337630" w:themeColor="accent2" w:themeShade="80"/>
              </w:rPr>
              <w:lastRenderedPageBreak/>
              <w:t>Northern Ireland</w:t>
            </w:r>
          </w:p>
        </w:tc>
        <w:tc>
          <w:tcPr>
            <w:tcW w:w="170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r w:rsidRPr="00535A98">
              <w:rPr>
                <w:rFonts w:ascii="Calibri" w:hAnsi="Calibri"/>
                <w:bCs/>
                <w:color w:val="337630" w:themeColor="accent2" w:themeShade="80"/>
              </w:rPr>
              <w:t>Assessments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lastRenderedPageBreak/>
              <w:t>Crime and Justice</w:t>
            </w:r>
          </w:p>
        </w:tc>
        <w:tc>
          <w:tcPr>
            <w:tcW w:w="3370" w:type="dxa"/>
          </w:tcPr>
          <w:p w:rsidR="00535A98" w:rsidRPr="00535A98" w:rsidRDefault="00535A98"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Northern Ireland Crime Survey: Compliance check </w:t>
            </w:r>
          </w:p>
        </w:tc>
        <w:tc>
          <w:tcPr>
            <w:tcW w:w="1440" w:type="dxa"/>
          </w:tcPr>
          <w:p w:rsidR="00535A98" w:rsidRPr="00535A98" w:rsidRDefault="00535A98"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Northern Ireland</w:t>
            </w:r>
          </w:p>
        </w:tc>
        <w:tc>
          <w:tcPr>
            <w:tcW w:w="1701" w:type="dxa"/>
          </w:tcPr>
          <w:p w:rsidR="00535A98" w:rsidRPr="00535A98" w:rsidRDefault="00535A98" w:rsidP="00F6344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Compliance Check </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Extending our knowledge of statistics on the criminal justice system to increase our awareness of relevant data issues and statistical provision</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Watching brief</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Culture and Identity</w:t>
            </w:r>
          </w:p>
        </w:tc>
        <w:tc>
          <w:tcPr>
            <w:tcW w:w="3370" w:type="dxa"/>
          </w:tcPr>
          <w:p w:rsidR="00535A98" w:rsidRPr="00535A98" w:rsidRDefault="00535A98" w:rsidP="006B088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 of Race Disparity Unit statistics</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6119F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Community Life Survey (DCMS)</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England</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Economy</w:t>
            </w:r>
          </w:p>
        </w:tc>
        <w:tc>
          <w:tcPr>
            <w:tcW w:w="337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Measurement of prices: Follow up on systemic reviews  on Deflators and City regions: revisit the findings from our systemic reviews and survey key users about progress and latest thinking</w:t>
            </w:r>
          </w:p>
        </w:tc>
        <w:tc>
          <w:tcPr>
            <w:tcW w:w="144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Systemic Review follow up</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Understanding the Productivity Puzzle: Review progress by ONS against 2015 roadmap to address measurement issues </w:t>
            </w:r>
          </w:p>
        </w:tc>
        <w:tc>
          <w:tcPr>
            <w:tcW w:w="144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Systemic Review follow up</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245A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rPr>
            </w:pPr>
          </w:p>
        </w:tc>
        <w:tc>
          <w:tcPr>
            <w:tcW w:w="3370" w:type="dxa"/>
          </w:tcPr>
          <w:p w:rsidR="00535A98" w:rsidRPr="00535A98" w:rsidRDefault="00535A98" w:rsidP="00FB49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337630" w:themeColor="accent2" w:themeShade="80"/>
                <w:sz w:val="22"/>
                <w:szCs w:val="22"/>
              </w:rPr>
            </w:pPr>
            <w:r w:rsidRPr="00535A98">
              <w:rPr>
                <w:rFonts w:ascii="Calibri" w:hAnsi="Calibri"/>
                <w:bCs/>
                <w:color w:val="337630" w:themeColor="accent2" w:themeShade="80"/>
                <w:sz w:val="22"/>
                <w:szCs w:val="22"/>
              </w:rPr>
              <w:t>Economic estimates of the GVA from the creative industries (DCMS)</w:t>
            </w:r>
          </w:p>
        </w:tc>
        <w:tc>
          <w:tcPr>
            <w:tcW w:w="144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FB49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color w:val="337630" w:themeColor="accent2" w:themeShade="80"/>
                <w:sz w:val="22"/>
                <w:szCs w:val="22"/>
              </w:rPr>
              <w:t xml:space="preserve">Exploitation, interrogation and understanding of administrative data and other large datasets </w:t>
            </w:r>
            <w:r w:rsidRPr="00535A98">
              <w:rPr>
                <w:rFonts w:ascii="Calibri" w:hAnsi="Calibri"/>
                <w:bCs/>
                <w:color w:val="337630" w:themeColor="accent2" w:themeShade="80"/>
                <w:sz w:val="22"/>
                <w:szCs w:val="22"/>
              </w:rPr>
              <w:t>HMRC statistics- a series of checks to ensure continued compliance with the Code would be appropriate, especially in light of increasing intensity of use of HMRC’s administrative data across the statistical system.</w:t>
            </w:r>
          </w:p>
        </w:tc>
        <w:tc>
          <w:tcPr>
            <w:tcW w:w="144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245A1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Measurement of devolved, regional and local statistics – Compliance Checks on Export Statistics Scotland, Scottish Quarterly Index of Manufactured Exports, </w:t>
            </w:r>
            <w:r w:rsidRPr="00535A98">
              <w:rPr>
                <w:rFonts w:ascii="Calibri" w:hAnsi="Calibri"/>
                <w:color w:val="337630" w:themeColor="accent2" w:themeShade="80"/>
                <w:sz w:val="22"/>
                <w:szCs w:val="22"/>
              </w:rPr>
              <w:t>Northern Ireland Manufacturing Sales and Exports Survey, HMRC Export statistics, Welsh exports statistics</w:t>
            </w:r>
          </w:p>
        </w:tc>
        <w:tc>
          <w:tcPr>
            <w:tcW w:w="1440"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A74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Health and Social Care</w:t>
            </w:r>
          </w:p>
        </w:tc>
        <w:tc>
          <w:tcPr>
            <w:tcW w:w="3370" w:type="dxa"/>
          </w:tcPr>
          <w:p w:rsidR="00535A98" w:rsidRPr="00535A98" w:rsidRDefault="00535A98" w:rsidP="00BF3BF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Health and Social Care statistics – it is likely the continuing Health and Social Care Systemic Review will identify priorities for sets of statistics that require Compliance Checks in 2017/18</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Housing, Planning and Local Services</w:t>
            </w:r>
          </w:p>
        </w:tc>
        <w:tc>
          <w:tcPr>
            <w:tcW w:w="3370" w:type="dxa"/>
          </w:tcPr>
          <w:p w:rsidR="00535A98" w:rsidRPr="00535A98" w:rsidRDefault="00535A98" w:rsidP="007C1E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Northern Ireland Housing Statistics –workshop with data suppliers on the quality of their administrative sources.</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Northern Ireland</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Engagement - Workshop</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245A1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Private Rental Market statistics for England (Valuation Office Agency). </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England</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7C1E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Northern Ireland Planning Statistics (Department for industry NI): Put forward by the producer body </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Northern Ireland</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6119F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Welsh House Condition Survey: </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Wales</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p w:rsidR="00535A98" w:rsidRPr="00535A98" w:rsidRDefault="00535A98" w:rsidP="003C4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Private sector rents statistics – Scotland: input into ONS Index of private housing rental prices.</w:t>
            </w:r>
          </w:p>
          <w:p w:rsidR="00535A98" w:rsidRPr="00535A98" w:rsidRDefault="00535A98" w:rsidP="003C4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Private sector rents statistics – Wales: input into ONS Index of private housing rental prices</w:t>
            </w:r>
          </w:p>
          <w:p w:rsidR="00535A98" w:rsidRPr="00535A98" w:rsidRDefault="00535A98" w:rsidP="0086776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Household Projections in England (ONS) following ONS </w:t>
            </w:r>
            <w:r w:rsidRPr="00535A98">
              <w:rPr>
                <w:rFonts w:ascii="Calibri" w:hAnsi="Calibri"/>
                <w:bCs/>
                <w:color w:val="337630" w:themeColor="accent2" w:themeShade="80"/>
                <w:sz w:val="22"/>
                <w:szCs w:val="22"/>
              </w:rPr>
              <w:lastRenderedPageBreak/>
              <w:t xml:space="preserve">taking over responsibility for their production from DCLG </w:t>
            </w:r>
          </w:p>
          <w:p w:rsidR="00535A98" w:rsidRPr="00535A98" w:rsidRDefault="00535A98" w:rsidP="0086776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DCLG Housing Statistics: priorities for compliance checks may emerge from the Housing Systemic Review</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Scotland</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Wales</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England</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lastRenderedPageBreak/>
              <w:t>England</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England</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245A1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Statistics from the Northern Ireland House Condition Survey (Northern Ireland Housing Executive): </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Northern Ireland</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Follow up of 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Labour Market and Welfare</w:t>
            </w:r>
          </w:p>
        </w:tc>
        <w:tc>
          <w:tcPr>
            <w:tcW w:w="3370" w:type="dxa"/>
          </w:tcPr>
          <w:p w:rsidR="00535A98" w:rsidRPr="00535A98" w:rsidRDefault="00535A98" w:rsidP="00FB49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Benefits Cap statistic (DWP) </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GB</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Benefit sanctions statistics (DWP): In 2015 </w:t>
            </w:r>
            <w:hyperlink r:id="rId9" w:history="1">
              <w:r w:rsidRPr="00535A98">
                <w:rPr>
                  <w:rStyle w:val="Hyperlink"/>
                  <w:rFonts w:ascii="Calibri" w:hAnsi="Calibri"/>
                  <w:bCs/>
                  <w:color w:val="0000FF"/>
                  <w:sz w:val="22"/>
                  <w:szCs w:val="22"/>
                </w:rPr>
                <w:t>we made 5 recommendations to DWP</w:t>
              </w:r>
            </w:hyperlink>
            <w:r w:rsidRPr="00535A98">
              <w:rPr>
                <w:rFonts w:ascii="Calibri" w:hAnsi="Calibri"/>
                <w:bCs/>
                <w:color w:val="337630" w:themeColor="accent2" w:themeShade="80"/>
                <w:sz w:val="22"/>
                <w:szCs w:val="22"/>
              </w:rPr>
              <w:t xml:space="preserve"> on its reporting of Benefit Sanctions.  NAO have published a report on benefit sanctions at the end of 2016, which recommended that DWP implement our guidance in full. </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GB</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Follow up of previous correspondence</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Gender Pay Gap and Income Inequalities: There have been a number of reports recently about the gender pay gap and growing income inequality (particularly amongst men), with some confusion over whether it’s growing or declining. This would be a small study of the coherence of presentation and interpretation of the statistics.</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Watching Brief</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p>
        </w:tc>
        <w:tc>
          <w:tcPr>
            <w:tcW w:w="337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i) Labour Market statistics (ONS): Identified by the Income and Earnings Systemic Review</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lastRenderedPageBreak/>
              <w:t>ii) Fraud and error in the benefits system statistics (DWP)</w:t>
            </w:r>
          </w:p>
        </w:tc>
        <w:tc>
          <w:tcPr>
            <w:tcW w:w="1440"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lastRenderedPageBreak/>
              <w:t>GB</w:t>
            </w:r>
          </w:p>
        </w:tc>
        <w:tc>
          <w:tcPr>
            <w:tcW w:w="1701" w:type="dxa"/>
          </w:tcPr>
          <w:p w:rsidR="00535A98" w:rsidRPr="00535A98" w:rsidRDefault="00535A98" w:rsidP="003C43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lastRenderedPageBreak/>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lastRenderedPageBreak/>
              <w:t>Population</w:t>
            </w:r>
          </w:p>
        </w:tc>
        <w:tc>
          <w:tcPr>
            <w:tcW w:w="337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Migration: Systemic review to support the drive for a more comprehensive production of international migration statistics, with orderly release, that in turn will increase the public value and trustworthiness of the statistics</w:t>
            </w:r>
          </w:p>
        </w:tc>
        <w:tc>
          <w:tcPr>
            <w:tcW w:w="144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Systemic Review</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Times New Roman" w:hAnsi="Calibri" w:cs="Arial"/>
                <w:color w:val="337630" w:themeColor="accent2" w:themeShade="80"/>
                <w:lang w:eastAsia="en-US"/>
              </w:rPr>
            </w:pPr>
          </w:p>
        </w:tc>
        <w:tc>
          <w:tcPr>
            <w:tcW w:w="337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2021 Census: likely to be a bespoke arrangement for assessing the next Census</w:t>
            </w:r>
          </w:p>
        </w:tc>
        <w:tc>
          <w:tcPr>
            <w:tcW w:w="144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535A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Assessment/Watching Brief</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Times New Roman" w:hAnsi="Calibri" w:cs="Arial"/>
                <w:color w:val="337630" w:themeColor="accent2" w:themeShade="80"/>
                <w:lang w:eastAsia="en-US"/>
              </w:rPr>
            </w:pPr>
          </w:p>
        </w:tc>
        <w:tc>
          <w:tcPr>
            <w:tcW w:w="337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Home Office Immigration Statistics: This is the last part of the migration suite of data sources to be revisited to confirm compliance with the </w:t>
            </w:r>
            <w:r w:rsidRPr="00535A98">
              <w:rPr>
                <w:rFonts w:ascii="Calibri" w:hAnsi="Calibri"/>
                <w:bCs/>
                <w:i/>
                <w:color w:val="337630" w:themeColor="accent2" w:themeShade="80"/>
                <w:sz w:val="22"/>
                <w:szCs w:val="22"/>
              </w:rPr>
              <w:t>Code</w:t>
            </w:r>
          </w:p>
        </w:tc>
        <w:tc>
          <w:tcPr>
            <w:tcW w:w="144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Times New Roman" w:hAnsi="Calibri" w:cs="Arial"/>
                <w:color w:val="337630" w:themeColor="accent2" w:themeShade="80"/>
                <w:lang w:eastAsia="en-US"/>
              </w:rPr>
            </w:pPr>
          </w:p>
        </w:tc>
        <w:tc>
          <w:tcPr>
            <w:tcW w:w="337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Aging:  this is a topic whose potency is set to continue to increase. We would be looking into the suitability of the statistics to deliver the information needed to inform decisions with respect to an ageing population – not just by Government (national and local) but for individuals, businesses etc. This would be a forward looking innovation.</w:t>
            </w:r>
          </w:p>
        </w:tc>
        <w:tc>
          <w:tcPr>
            <w:tcW w:w="144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Systemic Review</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eastAsia="Times New Roman" w:hAnsi="Calibri" w:cs="Arial"/>
                <w:color w:val="337630" w:themeColor="accent2" w:themeShade="80"/>
              </w:rPr>
              <w:t>Security, Defence and International Relations</w:t>
            </w:r>
          </w:p>
        </w:tc>
        <w:tc>
          <w:tcPr>
            <w:tcW w:w="3370" w:type="dxa"/>
          </w:tcPr>
          <w:p w:rsidR="00535A98" w:rsidRPr="00535A98" w:rsidRDefault="00535A98" w:rsidP="00B12F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Defence statistics </w:t>
            </w:r>
          </w:p>
          <w:p w:rsidR="00535A98" w:rsidRPr="00535A98" w:rsidRDefault="00535A98" w:rsidP="00B12F1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(Ministry of Defence) </w:t>
            </w:r>
          </w:p>
        </w:tc>
        <w:tc>
          <w:tcPr>
            <w:tcW w:w="1440" w:type="dxa"/>
          </w:tcPr>
          <w:p w:rsidR="00535A98" w:rsidRPr="00535A98" w:rsidRDefault="00535A98" w:rsidP="004757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4757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t>Travel , Transport and Tourism</w:t>
            </w:r>
          </w:p>
        </w:tc>
        <w:tc>
          <w:tcPr>
            <w:tcW w:w="337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Compliance checks:</w:t>
            </w:r>
          </w:p>
          <w:p w:rsidR="00535A98" w:rsidRPr="00535A98" w:rsidRDefault="00535A98" w:rsidP="00406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 xml:space="preserve">Rail statistics (ORR and DfT): statistics with potential to realise considerable public value in relation to rail </w:t>
            </w:r>
            <w:r w:rsidRPr="00535A98">
              <w:rPr>
                <w:rFonts w:ascii="Calibri" w:hAnsi="Calibri"/>
                <w:bCs/>
                <w:color w:val="337630" w:themeColor="accent2" w:themeShade="80"/>
                <w:sz w:val="22"/>
                <w:szCs w:val="22"/>
              </w:rPr>
              <w:lastRenderedPageBreak/>
              <w:t xml:space="preserve">performance, value for money and safety. </w:t>
            </w:r>
          </w:p>
          <w:p w:rsidR="00535A98" w:rsidRPr="00535A98" w:rsidRDefault="00535A98" w:rsidP="00406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National Travel Survey: compliance check with a focus on whether optimizing public value</w:t>
            </w:r>
          </w:p>
          <w:p w:rsidR="00535A98" w:rsidRPr="00535A98" w:rsidRDefault="00535A98" w:rsidP="00406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Port, Rail and Air freight statistics: Freight statistics are a key indicator of trade and overall economic performance.</w:t>
            </w:r>
          </w:p>
          <w:p w:rsidR="00535A98" w:rsidRPr="00535A98" w:rsidRDefault="00535A98" w:rsidP="00406F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17" w:hanging="317"/>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Overseas Travel and Tourism  (ONS): increasing potential public value</w:t>
            </w:r>
          </w:p>
        </w:tc>
        <w:tc>
          <w:tcPr>
            <w:tcW w:w="1440"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GB</w:t>
            </w: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GB</w:t>
            </w: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UK/GB</w:t>
            </w: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p>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t>UK</w:t>
            </w:r>
          </w:p>
        </w:tc>
        <w:tc>
          <w:tcPr>
            <w:tcW w:w="1701" w:type="dxa"/>
          </w:tcPr>
          <w:p w:rsidR="00535A98" w:rsidRPr="00535A98" w:rsidRDefault="00535A98" w:rsidP="00406F6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sz w:val="22"/>
                <w:szCs w:val="22"/>
              </w:rPr>
            </w:pPr>
            <w:r w:rsidRPr="00535A98">
              <w:rPr>
                <w:rFonts w:ascii="Calibri" w:hAnsi="Calibri"/>
                <w:bCs/>
                <w:color w:val="337630" w:themeColor="accent2" w:themeShade="80"/>
                <w:sz w:val="22"/>
                <w:szCs w:val="22"/>
              </w:rPr>
              <w:lastRenderedPageBreak/>
              <w:t>Compliance checks</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val="restart"/>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hAnsi="Calibri"/>
                <w:bCs/>
                <w:color w:val="337630" w:themeColor="accent2" w:themeShade="80"/>
                <w:lang w:eastAsia="en-US"/>
              </w:rPr>
            </w:pPr>
            <w:r w:rsidRPr="00535A98">
              <w:rPr>
                <w:rFonts w:ascii="Calibri" w:hAnsi="Calibri"/>
                <w:bCs/>
                <w:color w:val="337630" w:themeColor="accent2" w:themeShade="80"/>
              </w:rPr>
              <w:lastRenderedPageBreak/>
              <w:t>Cross-cutting</w:t>
            </w:r>
          </w:p>
        </w:tc>
        <w:tc>
          <w:tcPr>
            <w:tcW w:w="337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Exploring issues of data access and linkage to address policy questions and enable person centred statistics; to be approached through case studies highlighting potential, constraints and lessons</w:t>
            </w:r>
          </w:p>
        </w:tc>
        <w:tc>
          <w:tcPr>
            <w:tcW w:w="144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UK</w:t>
            </w:r>
          </w:p>
        </w:tc>
        <w:tc>
          <w:tcPr>
            <w:tcW w:w="1701"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Systemic Review</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c>
          <w:tcPr>
            <w:tcW w:w="337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color w:val="337630" w:themeColor="accent2" w:themeShade="80"/>
              </w:rPr>
              <w:t>The use of facts in political discourse: small piece of comparative research on the prevalence of ‘facts’ in political discourse: is it a new phenomenon?</w:t>
            </w:r>
          </w:p>
        </w:tc>
        <w:tc>
          <w:tcPr>
            <w:tcW w:w="144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UK</w:t>
            </w:r>
          </w:p>
        </w:tc>
        <w:tc>
          <w:tcPr>
            <w:tcW w:w="1701"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Systemic Review</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c>
          <w:tcPr>
            <w:tcW w:w="337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color w:val="337630" w:themeColor="accent2" w:themeShade="80"/>
              </w:rPr>
              <w:t>Data Portals: innovations and lessons</w:t>
            </w:r>
          </w:p>
        </w:tc>
        <w:tc>
          <w:tcPr>
            <w:tcW w:w="144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UK</w:t>
            </w:r>
          </w:p>
        </w:tc>
        <w:tc>
          <w:tcPr>
            <w:tcW w:w="1701"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Systemic Review</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r w:rsidR="00535A98" w:rsidRPr="00535A98" w:rsidTr="00A43506">
        <w:tc>
          <w:tcPr>
            <w:tcW w:w="2244" w:type="dxa"/>
            <w:vMerge/>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c>
          <w:tcPr>
            <w:tcW w:w="337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color w:val="337630" w:themeColor="accent2" w:themeShade="80"/>
              </w:rPr>
              <w:t>Comparative Statistics in a Devolved UK: addressing demand for comparable statistics as policy and data collection/ analysis are increasingly devolved</w:t>
            </w:r>
          </w:p>
        </w:tc>
        <w:tc>
          <w:tcPr>
            <w:tcW w:w="1440"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UK</w:t>
            </w:r>
          </w:p>
        </w:tc>
        <w:tc>
          <w:tcPr>
            <w:tcW w:w="1701" w:type="dxa"/>
          </w:tcPr>
          <w:p w:rsidR="00535A98" w:rsidRPr="00535A98" w:rsidRDefault="00535A98" w:rsidP="0086776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bCs/>
                <w:color w:val="337630" w:themeColor="accent2" w:themeShade="80"/>
                <w:lang w:eastAsia="en-US"/>
              </w:rPr>
            </w:pPr>
            <w:r w:rsidRPr="00535A98">
              <w:rPr>
                <w:rFonts w:ascii="Calibri" w:hAnsi="Calibri"/>
                <w:bCs/>
                <w:color w:val="337630" w:themeColor="accent2" w:themeShade="80"/>
              </w:rPr>
              <w:t>Systemic Review</w:t>
            </w:r>
          </w:p>
        </w:tc>
        <w:tc>
          <w:tcPr>
            <w:tcW w:w="5391" w:type="dxa"/>
          </w:tcPr>
          <w:p w:rsidR="00535A98" w:rsidRPr="00535A98" w:rsidRDefault="00535A98" w:rsidP="001150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color w:val="337630" w:themeColor="accent2" w:themeShade="80"/>
              </w:rPr>
            </w:pPr>
          </w:p>
        </w:tc>
      </w:tr>
    </w:tbl>
    <w:p w:rsidR="00075BF2" w:rsidRDefault="00075BF2">
      <w:pPr>
        <w:rPr>
          <w:rFonts w:ascii="Calibri" w:hAnsi="Calibri"/>
          <w:b/>
          <w:bCs/>
          <w:color w:val="082938"/>
        </w:rPr>
      </w:pPr>
    </w:p>
    <w:p w:rsidR="00CB2AFC" w:rsidRDefault="00CB2AFC">
      <w:pPr>
        <w:rPr>
          <w:rFonts w:ascii="Calibri" w:hAnsi="Calibri"/>
          <w:b/>
          <w:bCs/>
          <w:color w:val="082938"/>
        </w:rPr>
      </w:pPr>
    </w:p>
    <w:p w:rsidR="00FF36AE" w:rsidRDefault="00FF36AE">
      <w:pPr>
        <w:rPr>
          <w:rFonts w:ascii="Calibri" w:hAnsi="Calibri"/>
          <w:b/>
          <w:bCs/>
          <w:color w:val="337630" w:themeColor="accent2" w:themeShade="80"/>
        </w:rPr>
      </w:pPr>
    </w:p>
    <w:p w:rsidR="00E0621C" w:rsidRDefault="00E0621C">
      <w:pPr>
        <w:rPr>
          <w:rFonts w:ascii="Calibri" w:hAnsi="Calibri"/>
          <w:b/>
          <w:bCs/>
          <w:color w:val="337630" w:themeColor="accent2" w:themeShade="80"/>
        </w:rPr>
      </w:pPr>
    </w:p>
    <w:p w:rsidR="00CB2AFC" w:rsidRDefault="00CB2AFC">
      <w:pPr>
        <w:rPr>
          <w:rFonts w:ascii="Calibri" w:hAnsi="Calibri"/>
          <w:b/>
          <w:bCs/>
          <w:color w:val="337630" w:themeColor="accent2" w:themeShade="80"/>
        </w:rPr>
      </w:pPr>
      <w:r w:rsidRPr="00CB2AFC">
        <w:rPr>
          <w:rFonts w:ascii="Calibri" w:hAnsi="Calibri"/>
          <w:b/>
          <w:bCs/>
          <w:color w:val="337630" w:themeColor="accent2" w:themeShade="80"/>
        </w:rPr>
        <w:lastRenderedPageBreak/>
        <w:t xml:space="preserve">Section </w:t>
      </w:r>
      <w:r w:rsidR="0054101D">
        <w:rPr>
          <w:rFonts w:ascii="Calibri" w:hAnsi="Calibri"/>
          <w:b/>
          <w:bCs/>
          <w:color w:val="337630" w:themeColor="accent2" w:themeShade="80"/>
        </w:rPr>
        <w:t>3</w:t>
      </w:r>
      <w:r w:rsidRPr="00CB2AFC">
        <w:rPr>
          <w:rFonts w:ascii="Calibri" w:hAnsi="Calibri"/>
          <w:b/>
          <w:bCs/>
          <w:color w:val="337630" w:themeColor="accent2" w:themeShade="80"/>
        </w:rPr>
        <w:t>: Your proposals</w:t>
      </w:r>
    </w:p>
    <w:p w:rsidR="00CB2AFC" w:rsidRDefault="00CB2AFC">
      <w:pPr>
        <w:rPr>
          <w:rFonts w:ascii="Calibri" w:hAnsi="Calibri"/>
          <w:b/>
          <w:bCs/>
          <w:color w:val="337630" w:themeColor="accent2" w:themeShade="80"/>
        </w:rPr>
      </w:pPr>
    </w:p>
    <w:tbl>
      <w:tblPr>
        <w:tblStyle w:val="LightGrid-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736"/>
        <w:gridCol w:w="1531"/>
        <w:gridCol w:w="7782"/>
      </w:tblGrid>
      <w:tr w:rsidR="00CB2AFC" w:rsidTr="00BC75A9">
        <w:trPr>
          <w:cnfStyle w:val="10000000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CB2AFC" w:rsidRP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val="0"/>
                <w:color w:val="337630" w:themeColor="accent2" w:themeShade="80"/>
              </w:rPr>
            </w:pPr>
            <w:r w:rsidRPr="00CB2AFC">
              <w:rPr>
                <w:rFonts w:ascii="Calibri" w:hAnsi="Calibri"/>
                <w:bCs w:val="0"/>
                <w:color w:val="337630" w:themeColor="accent2" w:themeShade="80"/>
              </w:rPr>
              <w:t>Proposal</w:t>
            </w:r>
          </w:p>
        </w:tc>
        <w:tc>
          <w:tcPr>
            <w:tcW w:w="2736"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CB2AFC" w:rsidRP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100000000000"/>
              <w:rPr>
                <w:rFonts w:ascii="Calibri" w:hAnsi="Calibri"/>
                <w:bCs w:val="0"/>
                <w:color w:val="337630" w:themeColor="accent2" w:themeShade="80"/>
              </w:rPr>
            </w:pPr>
            <w:r w:rsidRPr="00CB2AFC">
              <w:rPr>
                <w:rFonts w:ascii="Calibri" w:hAnsi="Calibri"/>
                <w:bCs w:val="0"/>
                <w:color w:val="337630" w:themeColor="accent2" w:themeShade="80"/>
              </w:rPr>
              <w:t>Theme (or cross-cutting)</w:t>
            </w:r>
          </w:p>
        </w:tc>
        <w:tc>
          <w:tcPr>
            <w:tcW w:w="1531"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CB2AFC" w:rsidRP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100000000000"/>
              <w:rPr>
                <w:rFonts w:ascii="Calibri" w:hAnsi="Calibri"/>
                <w:bCs w:val="0"/>
                <w:color w:val="337630" w:themeColor="accent2" w:themeShade="80"/>
              </w:rPr>
            </w:pPr>
            <w:r w:rsidRPr="00CB2AFC">
              <w:rPr>
                <w:rFonts w:ascii="Calibri" w:hAnsi="Calibri"/>
                <w:bCs w:val="0"/>
                <w:color w:val="337630" w:themeColor="accent2" w:themeShade="80"/>
              </w:rPr>
              <w:t>Geographical Coverage</w:t>
            </w:r>
          </w:p>
        </w:tc>
        <w:tc>
          <w:tcPr>
            <w:tcW w:w="7782"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CB2AFC" w:rsidRPr="00CB2AFC" w:rsidRDefault="00CB2AFC" w:rsidP="00CB2AFC">
            <w:pPr>
              <w:pBdr>
                <w:top w:val="none" w:sz="0" w:space="0" w:color="auto"/>
                <w:left w:val="none" w:sz="0" w:space="0" w:color="auto"/>
                <w:bottom w:val="none" w:sz="0" w:space="0" w:color="auto"/>
                <w:right w:val="none" w:sz="0" w:space="0" w:color="auto"/>
                <w:between w:val="none" w:sz="0" w:space="0" w:color="auto"/>
                <w:bar w:val="none" w:sz="0" w:color="auto"/>
              </w:pBdr>
              <w:cnfStyle w:val="100000000000"/>
              <w:rPr>
                <w:rFonts w:ascii="Calibri" w:hAnsi="Calibri"/>
                <w:bCs w:val="0"/>
                <w:color w:val="337630" w:themeColor="accent2" w:themeShade="80"/>
              </w:rPr>
            </w:pPr>
            <w:r w:rsidRPr="00CB2AFC">
              <w:rPr>
                <w:rFonts w:ascii="Calibri" w:hAnsi="Calibri"/>
                <w:bCs w:val="0"/>
                <w:color w:val="337630" w:themeColor="accent2" w:themeShade="80"/>
              </w:rPr>
              <w:t>Reason for proposal: Contribution to Trustworthiness, Quality and/or Public Value: Br</w:t>
            </w:r>
            <w:r>
              <w:rPr>
                <w:rFonts w:ascii="Calibri" w:hAnsi="Calibri"/>
                <w:bCs w:val="0"/>
                <w:color w:val="337630" w:themeColor="accent2" w:themeShade="80"/>
              </w:rPr>
              <w:t>i</w:t>
            </w:r>
            <w:r w:rsidRPr="00CB2AFC">
              <w:rPr>
                <w:rFonts w:ascii="Calibri" w:hAnsi="Calibri"/>
                <w:bCs w:val="0"/>
                <w:color w:val="337630" w:themeColor="accent2" w:themeShade="80"/>
              </w:rPr>
              <w:t>efly explain</w:t>
            </w:r>
          </w:p>
        </w:tc>
      </w:tr>
      <w:tr w:rsidR="00CB2AFC" w:rsidTr="00BC75A9">
        <w:trPr>
          <w:cnfStyle w:val="00000010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tc>
        <w:tc>
          <w:tcPr>
            <w:tcW w:w="2736"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c>
          <w:tcPr>
            <w:tcW w:w="1531"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c>
          <w:tcPr>
            <w:tcW w:w="7782"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r>
      <w:tr w:rsidR="00CB2AFC" w:rsidTr="00BC75A9">
        <w:trPr>
          <w:cnfStyle w:val="00000001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tc>
        <w:tc>
          <w:tcPr>
            <w:tcW w:w="2736"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010000"/>
              <w:rPr>
                <w:rFonts w:ascii="Calibri" w:hAnsi="Calibri"/>
                <w:b/>
                <w:bCs/>
                <w:color w:val="337630" w:themeColor="accent2" w:themeShade="80"/>
              </w:rPr>
            </w:pPr>
          </w:p>
        </w:tc>
        <w:tc>
          <w:tcPr>
            <w:tcW w:w="1531"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010000"/>
              <w:rPr>
                <w:rFonts w:ascii="Calibri" w:hAnsi="Calibri"/>
                <w:b/>
                <w:bCs/>
                <w:color w:val="337630" w:themeColor="accent2" w:themeShade="80"/>
              </w:rPr>
            </w:pPr>
          </w:p>
        </w:tc>
        <w:tc>
          <w:tcPr>
            <w:tcW w:w="7782"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010000"/>
              <w:rPr>
                <w:rFonts w:ascii="Calibri" w:hAnsi="Calibri"/>
                <w:b/>
                <w:bCs/>
                <w:color w:val="337630" w:themeColor="accent2" w:themeShade="80"/>
              </w:rPr>
            </w:pPr>
          </w:p>
        </w:tc>
      </w:tr>
      <w:tr w:rsidR="00CB2AFC" w:rsidTr="00BC75A9">
        <w:trPr>
          <w:cnfStyle w:val="00000010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tc>
        <w:tc>
          <w:tcPr>
            <w:tcW w:w="2736"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c>
          <w:tcPr>
            <w:tcW w:w="1531"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c>
          <w:tcPr>
            <w:tcW w:w="7782"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r>
      <w:tr w:rsidR="00CB2AFC" w:rsidTr="00BC75A9">
        <w:trPr>
          <w:cnfStyle w:val="00000001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tc>
        <w:tc>
          <w:tcPr>
            <w:tcW w:w="2736"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010000"/>
              <w:rPr>
                <w:rFonts w:ascii="Calibri" w:hAnsi="Calibri"/>
                <w:b/>
                <w:bCs/>
                <w:color w:val="337630" w:themeColor="accent2" w:themeShade="80"/>
              </w:rPr>
            </w:pPr>
          </w:p>
        </w:tc>
        <w:tc>
          <w:tcPr>
            <w:tcW w:w="1531"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010000"/>
              <w:rPr>
                <w:rFonts w:ascii="Calibri" w:hAnsi="Calibri"/>
                <w:b/>
                <w:bCs/>
                <w:color w:val="337630" w:themeColor="accent2" w:themeShade="80"/>
              </w:rPr>
            </w:pPr>
          </w:p>
        </w:tc>
        <w:tc>
          <w:tcPr>
            <w:tcW w:w="7782" w:type="dxa"/>
            <w:tcBorders>
              <w:top w:val="none" w:sz="0" w:space="0" w:color="auto"/>
              <w:left w:val="none" w:sz="0" w:space="0" w:color="auto"/>
              <w:bottom w:val="none" w:sz="0" w:space="0" w:color="auto"/>
              <w:right w:val="none" w:sz="0" w:space="0" w:color="auto"/>
            </w:tcBorders>
            <w:shd w:val="clear" w:color="auto" w:fill="FFFFFF" w:themeFill="background1"/>
          </w:tcPr>
          <w:p w:rsidR="00CB2AFC" w:rsidRDefault="00CB2AFC">
            <w:pPr>
              <w:pBdr>
                <w:top w:val="none" w:sz="0" w:space="0" w:color="auto"/>
                <w:left w:val="none" w:sz="0" w:space="0" w:color="auto"/>
                <w:bottom w:val="none" w:sz="0" w:space="0" w:color="auto"/>
                <w:right w:val="none" w:sz="0" w:space="0" w:color="auto"/>
                <w:between w:val="none" w:sz="0" w:space="0" w:color="auto"/>
                <w:bar w:val="none" w:sz="0" w:color="auto"/>
              </w:pBdr>
              <w:cnfStyle w:val="000000010000"/>
              <w:rPr>
                <w:rFonts w:ascii="Calibri" w:hAnsi="Calibri"/>
                <w:b/>
                <w:bCs/>
                <w:color w:val="337630" w:themeColor="accent2" w:themeShade="80"/>
              </w:rPr>
            </w:pPr>
          </w:p>
        </w:tc>
      </w:tr>
    </w:tbl>
    <w:p w:rsidR="00372C7E" w:rsidRDefault="00372C7E" w:rsidP="009624C8">
      <w:pPr>
        <w:pStyle w:val="Body"/>
      </w:pPr>
    </w:p>
    <w:p w:rsidR="009D5CC2" w:rsidRDefault="009D5CC2" w:rsidP="009D5CC2">
      <w:pPr>
        <w:rPr>
          <w:rFonts w:ascii="Calibri" w:hAnsi="Calibri"/>
          <w:b/>
          <w:bCs/>
          <w:color w:val="337630" w:themeColor="accent2" w:themeShade="80"/>
        </w:rPr>
      </w:pPr>
      <w:r w:rsidRPr="00CB2AFC">
        <w:rPr>
          <w:rFonts w:ascii="Calibri" w:hAnsi="Calibri"/>
          <w:b/>
          <w:bCs/>
          <w:color w:val="337630" w:themeColor="accent2" w:themeShade="80"/>
        </w:rPr>
        <w:t xml:space="preserve">Section </w:t>
      </w:r>
      <w:r>
        <w:rPr>
          <w:rFonts w:ascii="Calibri" w:hAnsi="Calibri"/>
          <w:b/>
          <w:bCs/>
          <w:color w:val="337630" w:themeColor="accent2" w:themeShade="80"/>
        </w:rPr>
        <w:t>4</w:t>
      </w:r>
      <w:r w:rsidRPr="00CB2AFC">
        <w:rPr>
          <w:rFonts w:ascii="Calibri" w:hAnsi="Calibri"/>
          <w:b/>
          <w:bCs/>
          <w:color w:val="337630" w:themeColor="accent2" w:themeShade="80"/>
        </w:rPr>
        <w:t xml:space="preserve">: Your </w:t>
      </w:r>
      <w:r>
        <w:rPr>
          <w:rFonts w:ascii="Calibri" w:hAnsi="Calibri"/>
          <w:b/>
          <w:bCs/>
          <w:color w:val="337630" w:themeColor="accent2" w:themeShade="80"/>
        </w:rPr>
        <w:t>details</w:t>
      </w:r>
    </w:p>
    <w:p w:rsidR="009D5CC2" w:rsidRDefault="009D5CC2" w:rsidP="009D5CC2">
      <w:pPr>
        <w:rPr>
          <w:rFonts w:ascii="Calibri" w:hAnsi="Calibri"/>
          <w:b/>
          <w:bCs/>
          <w:color w:val="337630" w:themeColor="accent2" w:themeShade="80"/>
        </w:rPr>
      </w:pPr>
    </w:p>
    <w:tbl>
      <w:tblPr>
        <w:tblStyle w:val="LightGrid-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694"/>
        <w:gridCol w:w="4677"/>
        <w:gridCol w:w="4678"/>
      </w:tblGrid>
      <w:tr w:rsidR="009D5CC2" w:rsidTr="003D0CD0">
        <w:trPr>
          <w:cnfStyle w:val="10000000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9D5CC2" w:rsidRPr="00CB2AFC"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val="0"/>
                <w:color w:val="337630" w:themeColor="accent2" w:themeShade="80"/>
              </w:rPr>
            </w:pPr>
            <w:r>
              <w:rPr>
                <w:rFonts w:ascii="Calibri" w:hAnsi="Calibri"/>
                <w:bCs w:val="0"/>
                <w:color w:val="337630" w:themeColor="accent2" w:themeShade="80"/>
              </w:rPr>
              <w:t>Name</w:t>
            </w:r>
          </w:p>
        </w:tc>
        <w:tc>
          <w:tcPr>
            <w:tcW w:w="2694"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9D5CC2" w:rsidRPr="00CB2AFC"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cnfStyle w:val="100000000000"/>
              <w:rPr>
                <w:rFonts w:ascii="Calibri" w:hAnsi="Calibri"/>
                <w:bCs w:val="0"/>
                <w:color w:val="337630" w:themeColor="accent2" w:themeShade="80"/>
              </w:rPr>
            </w:pPr>
            <w:r>
              <w:rPr>
                <w:rFonts w:ascii="Calibri" w:hAnsi="Calibri"/>
                <w:bCs w:val="0"/>
                <w:color w:val="337630" w:themeColor="accent2" w:themeShade="80"/>
              </w:rPr>
              <w:t>Organisation</w:t>
            </w:r>
          </w:p>
        </w:tc>
        <w:tc>
          <w:tcPr>
            <w:tcW w:w="4677"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9D5CC2" w:rsidRPr="00CB2AFC"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cnfStyle w:val="100000000000"/>
              <w:rPr>
                <w:rFonts w:ascii="Calibri" w:hAnsi="Calibri"/>
                <w:bCs w:val="0"/>
                <w:color w:val="337630" w:themeColor="accent2" w:themeShade="80"/>
              </w:rPr>
            </w:pPr>
            <w:r>
              <w:rPr>
                <w:rFonts w:ascii="Calibri" w:hAnsi="Calibri"/>
                <w:bCs w:val="0"/>
                <w:color w:val="337630" w:themeColor="accent2" w:themeShade="80"/>
              </w:rPr>
              <w:t>Email</w:t>
            </w:r>
          </w:p>
        </w:tc>
        <w:tc>
          <w:tcPr>
            <w:tcW w:w="4678" w:type="dxa"/>
            <w:tcBorders>
              <w:top w:val="none" w:sz="0" w:space="0" w:color="auto"/>
              <w:left w:val="none" w:sz="0" w:space="0" w:color="auto"/>
              <w:bottom w:val="none" w:sz="0" w:space="0" w:color="auto"/>
              <w:right w:val="none" w:sz="0" w:space="0" w:color="auto"/>
            </w:tcBorders>
            <w:shd w:val="clear" w:color="auto" w:fill="E6F4E5" w:themeFill="accent2" w:themeFillTint="33"/>
          </w:tcPr>
          <w:p w:rsidR="009D5CC2" w:rsidRPr="00CB2AFC"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cnfStyle w:val="100000000000"/>
              <w:rPr>
                <w:rFonts w:ascii="Calibri" w:hAnsi="Calibri"/>
                <w:bCs w:val="0"/>
                <w:color w:val="337630" w:themeColor="accent2" w:themeShade="80"/>
              </w:rPr>
            </w:pPr>
            <w:r>
              <w:rPr>
                <w:rFonts w:ascii="Calibri" w:hAnsi="Calibri"/>
                <w:bCs w:val="0"/>
                <w:color w:val="337630" w:themeColor="accent2" w:themeShade="80"/>
              </w:rPr>
              <w:t>Telephone</w:t>
            </w:r>
          </w:p>
        </w:tc>
      </w:tr>
      <w:tr w:rsidR="009D5CC2" w:rsidTr="003D0CD0">
        <w:trPr>
          <w:cnfStyle w:val="000000100000"/>
        </w:trPr>
        <w:tc>
          <w:tcPr>
            <w:cnfStyle w:val="001000000000"/>
            <w:tcW w:w="3510" w:type="dxa"/>
            <w:tcBorders>
              <w:top w:val="none" w:sz="0" w:space="0" w:color="auto"/>
              <w:left w:val="none" w:sz="0" w:space="0" w:color="auto"/>
              <w:bottom w:val="none" w:sz="0" w:space="0" w:color="auto"/>
              <w:right w:val="none" w:sz="0" w:space="0" w:color="auto"/>
            </w:tcBorders>
            <w:shd w:val="clear" w:color="auto" w:fill="FFFFFF" w:themeFill="background1"/>
          </w:tcPr>
          <w:p w:rsidR="009D5CC2"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p w:rsidR="009D5CC2"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bCs w:val="0"/>
                <w:color w:val="337630" w:themeColor="accent2" w:themeShade="80"/>
              </w:rPr>
            </w:pPr>
          </w:p>
        </w:tc>
        <w:tc>
          <w:tcPr>
            <w:tcW w:w="2694" w:type="dxa"/>
            <w:tcBorders>
              <w:top w:val="none" w:sz="0" w:space="0" w:color="auto"/>
              <w:left w:val="none" w:sz="0" w:space="0" w:color="auto"/>
              <w:bottom w:val="none" w:sz="0" w:space="0" w:color="auto"/>
              <w:right w:val="none" w:sz="0" w:space="0" w:color="auto"/>
            </w:tcBorders>
            <w:shd w:val="clear" w:color="auto" w:fill="FFFFFF" w:themeFill="background1"/>
          </w:tcPr>
          <w:p w:rsidR="009D5CC2"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c>
          <w:tcPr>
            <w:tcW w:w="4677" w:type="dxa"/>
            <w:tcBorders>
              <w:top w:val="none" w:sz="0" w:space="0" w:color="auto"/>
              <w:left w:val="none" w:sz="0" w:space="0" w:color="auto"/>
              <w:bottom w:val="none" w:sz="0" w:space="0" w:color="auto"/>
              <w:right w:val="none" w:sz="0" w:space="0" w:color="auto"/>
            </w:tcBorders>
            <w:shd w:val="clear" w:color="auto" w:fill="FFFFFF" w:themeFill="background1"/>
          </w:tcPr>
          <w:p w:rsidR="009D5CC2"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c>
          <w:tcPr>
            <w:tcW w:w="4678" w:type="dxa"/>
            <w:tcBorders>
              <w:top w:val="none" w:sz="0" w:space="0" w:color="auto"/>
              <w:left w:val="none" w:sz="0" w:space="0" w:color="auto"/>
              <w:bottom w:val="none" w:sz="0" w:space="0" w:color="auto"/>
              <w:right w:val="none" w:sz="0" w:space="0" w:color="auto"/>
            </w:tcBorders>
            <w:shd w:val="clear" w:color="auto" w:fill="FFFFFF" w:themeFill="background1"/>
          </w:tcPr>
          <w:p w:rsidR="009D5CC2" w:rsidRDefault="009D5CC2" w:rsidP="003D0CD0">
            <w:pPr>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Calibri" w:hAnsi="Calibri"/>
                <w:b/>
                <w:bCs/>
                <w:color w:val="337630" w:themeColor="accent2" w:themeShade="80"/>
              </w:rPr>
            </w:pPr>
          </w:p>
        </w:tc>
      </w:tr>
    </w:tbl>
    <w:p w:rsidR="009D5CC2" w:rsidRDefault="009D5CC2" w:rsidP="009D5CC2">
      <w:pPr>
        <w:pStyle w:val="Body"/>
        <w:rPr>
          <w:rFonts w:hint="eastAsia"/>
        </w:rPr>
      </w:pPr>
    </w:p>
    <w:p w:rsidR="009D5CC2" w:rsidRDefault="009D5CC2" w:rsidP="009624C8">
      <w:pPr>
        <w:pStyle w:val="Body"/>
        <w:rPr>
          <w:rFonts w:hint="eastAsia"/>
        </w:rPr>
      </w:pPr>
    </w:p>
    <w:sectPr w:rsidR="009D5CC2" w:rsidSect="009624C8">
      <w:footerReference w:type="default" r:id="rId10"/>
      <w:pgSz w:w="16840" w:h="11900" w:orient="landscape"/>
      <w:pgMar w:top="720" w:right="720" w:bottom="720" w:left="720" w:header="720" w:footer="8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91" w:rsidRDefault="00D30291" w:rsidP="00372C7E">
      <w:r>
        <w:separator/>
      </w:r>
    </w:p>
  </w:endnote>
  <w:endnote w:type="continuationSeparator" w:id="0">
    <w:p w:rsidR="00D30291" w:rsidRDefault="00D30291" w:rsidP="0037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Helvetica Neue Medium">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Neue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91" w:rsidRDefault="00D30291">
    <w:pPr>
      <w:pStyle w:val="HeaderFooter"/>
      <w:tabs>
        <w:tab w:val="center" w:pos="4510"/>
      </w:tabs>
      <w:jc w:val="left"/>
      <w:rPr>
        <w:rFonts w:hint="eastAsia"/>
      </w:rPr>
    </w:pPr>
    <w:r>
      <w:tab/>
    </w:r>
    <w:r>
      <w:tab/>
    </w:r>
    <w:fldSimple w:instr=" PAGE ">
      <w:r w:rsidR="009D5CC2">
        <w:rPr>
          <w:rFonts w:hint="eastAsia"/>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91" w:rsidRDefault="00D30291" w:rsidP="00372C7E">
      <w:r>
        <w:separator/>
      </w:r>
    </w:p>
  </w:footnote>
  <w:footnote w:type="continuationSeparator" w:id="0">
    <w:p w:rsidR="00D30291" w:rsidRDefault="00D30291" w:rsidP="00372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343"/>
    <w:multiLevelType w:val="hybridMultilevel"/>
    <w:tmpl w:val="C074A690"/>
    <w:styleLink w:val="Numbered"/>
    <w:lvl w:ilvl="0" w:tplc="839EE1EC">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A1A8321E">
      <w:start w:val="1"/>
      <w:numFmt w:val="decimal"/>
      <w:lvlText w:val="%2."/>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299CBC2E">
      <w:start w:val="1"/>
      <w:numFmt w:val="decimal"/>
      <w:lvlText w:val="%3."/>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B61CD0F6">
      <w:start w:val="1"/>
      <w:numFmt w:val="decimal"/>
      <w:lvlText w:val="%4."/>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ECBEDA4C">
      <w:start w:val="1"/>
      <w:numFmt w:val="decimal"/>
      <w:lvlText w:val="%5."/>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8845752">
      <w:start w:val="1"/>
      <w:numFmt w:val="decimal"/>
      <w:lvlText w:val="%6."/>
      <w:lvlJc w:val="left"/>
      <w:pPr>
        <w:ind w:left="21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660C3A52">
      <w:start w:val="1"/>
      <w:numFmt w:val="decimal"/>
      <w:lvlText w:val="%7."/>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DC6495A4">
      <w:start w:val="1"/>
      <w:numFmt w:val="decimal"/>
      <w:lvlText w:val="%8."/>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34B2D8D6">
      <w:start w:val="1"/>
      <w:numFmt w:val="decimal"/>
      <w:lvlText w:val="%9."/>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8D22C6"/>
    <w:multiLevelType w:val="hybridMultilevel"/>
    <w:tmpl w:val="A38A5600"/>
    <w:numStyleLink w:val="Bullet"/>
  </w:abstractNum>
  <w:abstractNum w:abstractNumId="2">
    <w:nsid w:val="052B68AF"/>
    <w:multiLevelType w:val="hybridMultilevel"/>
    <w:tmpl w:val="A38A5600"/>
    <w:styleLink w:val="Bullet"/>
    <w:lvl w:ilvl="0" w:tplc="90D6DD3C">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0A222B8C">
      <w:start w:val="1"/>
      <w:numFmt w:val="bullet"/>
      <w:lvlText w:val="•"/>
      <w:lvlJc w:val="left"/>
      <w:pPr>
        <w:ind w:left="42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F594DEB0">
      <w:start w:val="1"/>
      <w:numFmt w:val="bullet"/>
      <w:lvlText w:val="•"/>
      <w:lvlJc w:val="left"/>
      <w:pPr>
        <w:ind w:left="62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8EE20E48">
      <w:start w:val="1"/>
      <w:numFmt w:val="bullet"/>
      <w:lvlText w:val="•"/>
      <w:lvlJc w:val="left"/>
      <w:pPr>
        <w:ind w:left="82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358484D6">
      <w:start w:val="1"/>
      <w:numFmt w:val="bullet"/>
      <w:lvlText w:val="•"/>
      <w:lvlJc w:val="left"/>
      <w:pPr>
        <w:ind w:left="102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858CD778">
      <w:start w:val="1"/>
      <w:numFmt w:val="bullet"/>
      <w:lvlText w:val="•"/>
      <w:lvlJc w:val="left"/>
      <w:pPr>
        <w:ind w:left="12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B48B4FE">
      <w:start w:val="1"/>
      <w:numFmt w:val="bullet"/>
      <w:lvlText w:val="•"/>
      <w:lvlJc w:val="left"/>
      <w:pPr>
        <w:ind w:left="142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29F29ED8">
      <w:start w:val="1"/>
      <w:numFmt w:val="bullet"/>
      <w:lvlText w:val="•"/>
      <w:lvlJc w:val="left"/>
      <w:pPr>
        <w:ind w:left="162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492816B6">
      <w:start w:val="1"/>
      <w:numFmt w:val="bullet"/>
      <w:lvlText w:val="•"/>
      <w:lvlJc w:val="left"/>
      <w:pPr>
        <w:ind w:left="182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EE079A"/>
    <w:multiLevelType w:val="hybridMultilevel"/>
    <w:tmpl w:val="B06A3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37975"/>
    <w:multiLevelType w:val="hybridMultilevel"/>
    <w:tmpl w:val="B1A493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19297061"/>
    <w:multiLevelType w:val="hybridMultilevel"/>
    <w:tmpl w:val="E560222E"/>
    <w:lvl w:ilvl="0" w:tplc="314CA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C5238"/>
    <w:multiLevelType w:val="hybridMultilevel"/>
    <w:tmpl w:val="6A54A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93586"/>
    <w:multiLevelType w:val="hybridMultilevel"/>
    <w:tmpl w:val="172A2DE4"/>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8">
    <w:nsid w:val="1EBD5EC7"/>
    <w:multiLevelType w:val="hybridMultilevel"/>
    <w:tmpl w:val="C074A690"/>
    <w:numStyleLink w:val="Numbered"/>
  </w:abstractNum>
  <w:abstractNum w:abstractNumId="9">
    <w:nsid w:val="21FE3C8A"/>
    <w:multiLevelType w:val="hybridMultilevel"/>
    <w:tmpl w:val="F3C696D4"/>
    <w:lvl w:ilvl="0" w:tplc="90405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12E1C"/>
    <w:multiLevelType w:val="hybridMultilevel"/>
    <w:tmpl w:val="2DCEB1EC"/>
    <w:lvl w:ilvl="0" w:tplc="A5F43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61346E"/>
    <w:multiLevelType w:val="hybridMultilevel"/>
    <w:tmpl w:val="2DA68D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58EE6BFE"/>
    <w:multiLevelType w:val="hybridMultilevel"/>
    <w:tmpl w:val="AEEE752E"/>
    <w:lvl w:ilvl="0" w:tplc="08090001">
      <w:start w:val="1"/>
      <w:numFmt w:val="bullet"/>
      <w:lvlText w:val=""/>
      <w:lvlJc w:val="left"/>
      <w:pPr>
        <w:ind w:left="4365" w:hanging="360"/>
      </w:pPr>
      <w:rPr>
        <w:rFonts w:ascii="Symbol" w:hAnsi="Symbol" w:hint="default"/>
      </w:rPr>
    </w:lvl>
    <w:lvl w:ilvl="1" w:tplc="08090003" w:tentative="1">
      <w:start w:val="1"/>
      <w:numFmt w:val="bullet"/>
      <w:lvlText w:val="o"/>
      <w:lvlJc w:val="left"/>
      <w:pPr>
        <w:ind w:left="5085" w:hanging="360"/>
      </w:pPr>
      <w:rPr>
        <w:rFonts w:ascii="Courier New" w:hAnsi="Courier New" w:cs="Courier New"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13">
    <w:nsid w:val="59D222E8"/>
    <w:multiLevelType w:val="hybridMultilevel"/>
    <w:tmpl w:val="8AE64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3CC66FE"/>
    <w:multiLevelType w:val="hybridMultilevel"/>
    <w:tmpl w:val="07F6C56A"/>
    <w:lvl w:ilvl="0" w:tplc="07A6B938">
      <w:start w:val="1"/>
      <w:numFmt w:val="lowerRoman"/>
      <w:lvlText w:val="%1)"/>
      <w:lvlJc w:val="left"/>
      <w:pPr>
        <w:ind w:left="1080" w:hanging="720"/>
      </w:pPr>
      <w:rPr>
        <w:rFonts w:hint="default"/>
        <w:color w:val="0829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F79E0"/>
    <w:multiLevelType w:val="hybridMultilevel"/>
    <w:tmpl w:val="C3B48792"/>
    <w:lvl w:ilvl="0" w:tplc="4BA08F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4A3CF2"/>
    <w:multiLevelType w:val="hybridMultilevel"/>
    <w:tmpl w:val="7CA44490"/>
    <w:lvl w:ilvl="0" w:tplc="08090001">
      <w:start w:val="1"/>
      <w:numFmt w:val="bullet"/>
      <w:lvlText w:val=""/>
      <w:lvlJc w:val="left"/>
      <w:pPr>
        <w:ind w:left="4359" w:hanging="360"/>
      </w:pPr>
      <w:rPr>
        <w:rFonts w:ascii="Symbol" w:hAnsi="Symbol" w:hint="default"/>
      </w:rPr>
    </w:lvl>
    <w:lvl w:ilvl="1" w:tplc="08090003" w:tentative="1">
      <w:start w:val="1"/>
      <w:numFmt w:val="bullet"/>
      <w:lvlText w:val="o"/>
      <w:lvlJc w:val="left"/>
      <w:pPr>
        <w:ind w:left="5079" w:hanging="360"/>
      </w:pPr>
      <w:rPr>
        <w:rFonts w:ascii="Courier New" w:hAnsi="Courier New" w:cs="Courier New" w:hint="default"/>
      </w:rPr>
    </w:lvl>
    <w:lvl w:ilvl="2" w:tplc="08090005" w:tentative="1">
      <w:start w:val="1"/>
      <w:numFmt w:val="bullet"/>
      <w:lvlText w:val=""/>
      <w:lvlJc w:val="left"/>
      <w:pPr>
        <w:ind w:left="5799" w:hanging="360"/>
      </w:pPr>
      <w:rPr>
        <w:rFonts w:ascii="Wingdings" w:hAnsi="Wingdings" w:hint="default"/>
      </w:rPr>
    </w:lvl>
    <w:lvl w:ilvl="3" w:tplc="08090001" w:tentative="1">
      <w:start w:val="1"/>
      <w:numFmt w:val="bullet"/>
      <w:lvlText w:val=""/>
      <w:lvlJc w:val="left"/>
      <w:pPr>
        <w:ind w:left="6519" w:hanging="360"/>
      </w:pPr>
      <w:rPr>
        <w:rFonts w:ascii="Symbol" w:hAnsi="Symbol" w:hint="default"/>
      </w:rPr>
    </w:lvl>
    <w:lvl w:ilvl="4" w:tplc="08090003" w:tentative="1">
      <w:start w:val="1"/>
      <w:numFmt w:val="bullet"/>
      <w:lvlText w:val="o"/>
      <w:lvlJc w:val="left"/>
      <w:pPr>
        <w:ind w:left="7239" w:hanging="360"/>
      </w:pPr>
      <w:rPr>
        <w:rFonts w:ascii="Courier New" w:hAnsi="Courier New" w:cs="Courier New" w:hint="default"/>
      </w:rPr>
    </w:lvl>
    <w:lvl w:ilvl="5" w:tplc="08090005" w:tentative="1">
      <w:start w:val="1"/>
      <w:numFmt w:val="bullet"/>
      <w:lvlText w:val=""/>
      <w:lvlJc w:val="left"/>
      <w:pPr>
        <w:ind w:left="7959" w:hanging="360"/>
      </w:pPr>
      <w:rPr>
        <w:rFonts w:ascii="Wingdings" w:hAnsi="Wingdings" w:hint="default"/>
      </w:rPr>
    </w:lvl>
    <w:lvl w:ilvl="6" w:tplc="08090001" w:tentative="1">
      <w:start w:val="1"/>
      <w:numFmt w:val="bullet"/>
      <w:lvlText w:val=""/>
      <w:lvlJc w:val="left"/>
      <w:pPr>
        <w:ind w:left="8679" w:hanging="360"/>
      </w:pPr>
      <w:rPr>
        <w:rFonts w:ascii="Symbol" w:hAnsi="Symbol" w:hint="default"/>
      </w:rPr>
    </w:lvl>
    <w:lvl w:ilvl="7" w:tplc="08090003" w:tentative="1">
      <w:start w:val="1"/>
      <w:numFmt w:val="bullet"/>
      <w:lvlText w:val="o"/>
      <w:lvlJc w:val="left"/>
      <w:pPr>
        <w:ind w:left="9399" w:hanging="360"/>
      </w:pPr>
      <w:rPr>
        <w:rFonts w:ascii="Courier New" w:hAnsi="Courier New" w:cs="Courier New" w:hint="default"/>
      </w:rPr>
    </w:lvl>
    <w:lvl w:ilvl="8" w:tplc="08090005" w:tentative="1">
      <w:start w:val="1"/>
      <w:numFmt w:val="bullet"/>
      <w:lvlText w:val=""/>
      <w:lvlJc w:val="left"/>
      <w:pPr>
        <w:ind w:left="10119" w:hanging="360"/>
      </w:pPr>
      <w:rPr>
        <w:rFonts w:ascii="Wingdings" w:hAnsi="Wingdings" w:hint="default"/>
      </w:rPr>
    </w:lvl>
  </w:abstractNum>
  <w:abstractNum w:abstractNumId="17">
    <w:nsid w:val="73EC7ED1"/>
    <w:multiLevelType w:val="hybridMultilevel"/>
    <w:tmpl w:val="BEE4A112"/>
    <w:lvl w:ilvl="0" w:tplc="0A14F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num>
  <w:num w:numId="4">
    <w:abstractNumId w:val="2"/>
  </w:num>
  <w:num w:numId="5">
    <w:abstractNumId w:val="1"/>
  </w:num>
  <w:num w:numId="6">
    <w:abstractNumId w:val="6"/>
  </w:num>
  <w:num w:numId="7">
    <w:abstractNumId w:val="3"/>
  </w:num>
  <w:num w:numId="8">
    <w:abstractNumId w:val="17"/>
  </w:num>
  <w:num w:numId="9">
    <w:abstractNumId w:val="11"/>
  </w:num>
  <w:num w:numId="10">
    <w:abstractNumId w:val="7"/>
  </w:num>
  <w:num w:numId="11">
    <w:abstractNumId w:val="12"/>
  </w:num>
  <w:num w:numId="12">
    <w:abstractNumId w:val="13"/>
  </w:num>
  <w:num w:numId="13">
    <w:abstractNumId w:val="16"/>
  </w:num>
  <w:num w:numId="14">
    <w:abstractNumId w:val="4"/>
  </w:num>
  <w:num w:numId="15">
    <w:abstractNumId w:val="10"/>
  </w:num>
  <w:num w:numId="16">
    <w:abstractNumId w:val="15"/>
  </w:num>
  <w:num w:numId="17">
    <w:abstractNumId w:val="14"/>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72C7E"/>
    <w:rsid w:val="00015223"/>
    <w:rsid w:val="00017FBD"/>
    <w:rsid w:val="00035BFF"/>
    <w:rsid w:val="00061CBF"/>
    <w:rsid w:val="00066DD9"/>
    <w:rsid w:val="00075BF2"/>
    <w:rsid w:val="000A46FC"/>
    <w:rsid w:val="000A6736"/>
    <w:rsid w:val="000B05D4"/>
    <w:rsid w:val="000C4BF6"/>
    <w:rsid w:val="00115015"/>
    <w:rsid w:val="001361CB"/>
    <w:rsid w:val="00157102"/>
    <w:rsid w:val="00184504"/>
    <w:rsid w:val="00187902"/>
    <w:rsid w:val="001C6902"/>
    <w:rsid w:val="001D1176"/>
    <w:rsid w:val="00213078"/>
    <w:rsid w:val="00237473"/>
    <w:rsid w:val="00245A1E"/>
    <w:rsid w:val="00247F92"/>
    <w:rsid w:val="00264373"/>
    <w:rsid w:val="00264DC9"/>
    <w:rsid w:val="00273969"/>
    <w:rsid w:val="00277D61"/>
    <w:rsid w:val="00280D6C"/>
    <w:rsid w:val="00293314"/>
    <w:rsid w:val="002A68AE"/>
    <w:rsid w:val="002C0AD9"/>
    <w:rsid w:val="00323F9A"/>
    <w:rsid w:val="003322BB"/>
    <w:rsid w:val="003420CB"/>
    <w:rsid w:val="00372C7E"/>
    <w:rsid w:val="003A74E3"/>
    <w:rsid w:val="003C434B"/>
    <w:rsid w:val="00402B0F"/>
    <w:rsid w:val="00403E95"/>
    <w:rsid w:val="00406F65"/>
    <w:rsid w:val="00410ACF"/>
    <w:rsid w:val="00412FAA"/>
    <w:rsid w:val="00426864"/>
    <w:rsid w:val="00431D8A"/>
    <w:rsid w:val="00450447"/>
    <w:rsid w:val="00450F24"/>
    <w:rsid w:val="004524D0"/>
    <w:rsid w:val="0046016F"/>
    <w:rsid w:val="00473B1B"/>
    <w:rsid w:val="0047575B"/>
    <w:rsid w:val="00522E9A"/>
    <w:rsid w:val="00523356"/>
    <w:rsid w:val="0053386A"/>
    <w:rsid w:val="00535A98"/>
    <w:rsid w:val="00537F5D"/>
    <w:rsid w:val="0054101D"/>
    <w:rsid w:val="00582B24"/>
    <w:rsid w:val="005934A3"/>
    <w:rsid w:val="005A1D8A"/>
    <w:rsid w:val="005A6AE1"/>
    <w:rsid w:val="005B0DB4"/>
    <w:rsid w:val="005C30E4"/>
    <w:rsid w:val="005F6674"/>
    <w:rsid w:val="0060527B"/>
    <w:rsid w:val="006119FF"/>
    <w:rsid w:val="006418EA"/>
    <w:rsid w:val="0066092D"/>
    <w:rsid w:val="00671018"/>
    <w:rsid w:val="00683F8A"/>
    <w:rsid w:val="006A1A6A"/>
    <w:rsid w:val="006A517C"/>
    <w:rsid w:val="006A7625"/>
    <w:rsid w:val="006B088A"/>
    <w:rsid w:val="006E0E52"/>
    <w:rsid w:val="00703AAA"/>
    <w:rsid w:val="00713AA3"/>
    <w:rsid w:val="00726515"/>
    <w:rsid w:val="0076466D"/>
    <w:rsid w:val="00765BAB"/>
    <w:rsid w:val="00774F38"/>
    <w:rsid w:val="007A4374"/>
    <w:rsid w:val="007C1E63"/>
    <w:rsid w:val="008260A4"/>
    <w:rsid w:val="0083326B"/>
    <w:rsid w:val="00834C3F"/>
    <w:rsid w:val="008443B6"/>
    <w:rsid w:val="0086776E"/>
    <w:rsid w:val="008771B0"/>
    <w:rsid w:val="00887D84"/>
    <w:rsid w:val="008B2BE0"/>
    <w:rsid w:val="008C457E"/>
    <w:rsid w:val="008E0977"/>
    <w:rsid w:val="008F7FF5"/>
    <w:rsid w:val="00906B6C"/>
    <w:rsid w:val="00925061"/>
    <w:rsid w:val="009316A3"/>
    <w:rsid w:val="0094261B"/>
    <w:rsid w:val="00945777"/>
    <w:rsid w:val="009624C8"/>
    <w:rsid w:val="00985D27"/>
    <w:rsid w:val="009A147F"/>
    <w:rsid w:val="009A6882"/>
    <w:rsid w:val="009D5CC2"/>
    <w:rsid w:val="009D7B3E"/>
    <w:rsid w:val="009E2894"/>
    <w:rsid w:val="009F2EA3"/>
    <w:rsid w:val="009F6FE9"/>
    <w:rsid w:val="00A107E4"/>
    <w:rsid w:val="00A33FC9"/>
    <w:rsid w:val="00A43506"/>
    <w:rsid w:val="00A44E66"/>
    <w:rsid w:val="00A602F7"/>
    <w:rsid w:val="00A7349B"/>
    <w:rsid w:val="00A84625"/>
    <w:rsid w:val="00AE3FE1"/>
    <w:rsid w:val="00B00E20"/>
    <w:rsid w:val="00B0678D"/>
    <w:rsid w:val="00B113AC"/>
    <w:rsid w:val="00B12F11"/>
    <w:rsid w:val="00B26C08"/>
    <w:rsid w:val="00B61896"/>
    <w:rsid w:val="00B81D71"/>
    <w:rsid w:val="00B85A5F"/>
    <w:rsid w:val="00B9172D"/>
    <w:rsid w:val="00BC1ACA"/>
    <w:rsid w:val="00BC75A9"/>
    <w:rsid w:val="00BE1921"/>
    <w:rsid w:val="00BF3BFE"/>
    <w:rsid w:val="00BF6106"/>
    <w:rsid w:val="00BF7288"/>
    <w:rsid w:val="00C16536"/>
    <w:rsid w:val="00C229C7"/>
    <w:rsid w:val="00C2325A"/>
    <w:rsid w:val="00C27F4A"/>
    <w:rsid w:val="00C42453"/>
    <w:rsid w:val="00C43ECA"/>
    <w:rsid w:val="00C76733"/>
    <w:rsid w:val="00C77153"/>
    <w:rsid w:val="00C8656B"/>
    <w:rsid w:val="00C92740"/>
    <w:rsid w:val="00C951B8"/>
    <w:rsid w:val="00CA5380"/>
    <w:rsid w:val="00CA70AE"/>
    <w:rsid w:val="00CB2AFC"/>
    <w:rsid w:val="00CC1584"/>
    <w:rsid w:val="00CF74AA"/>
    <w:rsid w:val="00D04DE5"/>
    <w:rsid w:val="00D163F6"/>
    <w:rsid w:val="00D2234F"/>
    <w:rsid w:val="00D30291"/>
    <w:rsid w:val="00D50568"/>
    <w:rsid w:val="00D6151A"/>
    <w:rsid w:val="00D67BEE"/>
    <w:rsid w:val="00D7346B"/>
    <w:rsid w:val="00D9711D"/>
    <w:rsid w:val="00DA39DF"/>
    <w:rsid w:val="00DE2128"/>
    <w:rsid w:val="00E0621C"/>
    <w:rsid w:val="00E1031E"/>
    <w:rsid w:val="00E46119"/>
    <w:rsid w:val="00E61335"/>
    <w:rsid w:val="00E70A7C"/>
    <w:rsid w:val="00E96F7E"/>
    <w:rsid w:val="00EC2022"/>
    <w:rsid w:val="00EE27A3"/>
    <w:rsid w:val="00F07664"/>
    <w:rsid w:val="00F53382"/>
    <w:rsid w:val="00F63449"/>
    <w:rsid w:val="00F700A8"/>
    <w:rsid w:val="00F74540"/>
    <w:rsid w:val="00FB1AE7"/>
    <w:rsid w:val="00FB49F5"/>
    <w:rsid w:val="00FE24E3"/>
    <w:rsid w:val="00FF3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2C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2C7E"/>
    <w:rPr>
      <w:u w:val="single"/>
    </w:rPr>
  </w:style>
  <w:style w:type="paragraph" w:customStyle="1" w:styleId="HeaderFooter">
    <w:name w:val="Header &amp; Footer"/>
    <w:rsid w:val="00372C7E"/>
    <w:pPr>
      <w:tabs>
        <w:tab w:val="right" w:pos="9020"/>
      </w:tabs>
      <w:jc w:val="right"/>
    </w:pPr>
    <w:rPr>
      <w:rFonts w:ascii="Helvetica Neue" w:hAnsi="Helvetica Neue" w:cs="Arial Unicode MS"/>
      <w:color w:val="000000"/>
    </w:rPr>
  </w:style>
  <w:style w:type="paragraph" w:customStyle="1" w:styleId="Body2">
    <w:name w:val="Body 2"/>
    <w:rsid w:val="00372C7E"/>
    <w:pPr>
      <w:tabs>
        <w:tab w:val="left" w:pos="6000"/>
      </w:tabs>
      <w:spacing w:line="312" w:lineRule="auto"/>
    </w:pPr>
    <w:rPr>
      <w:rFonts w:ascii="Helvetica Neue Medium" w:hAnsi="Helvetica Neue Medium" w:cs="Arial Unicode MS"/>
      <w:color w:val="222222"/>
    </w:rPr>
  </w:style>
  <w:style w:type="paragraph" w:styleId="Title">
    <w:name w:val="Title"/>
    <w:next w:val="Body3"/>
    <w:rsid w:val="00372C7E"/>
    <w:pPr>
      <w:keepNext/>
      <w:spacing w:after="240"/>
    </w:pPr>
    <w:rPr>
      <w:rFonts w:ascii="Helvetica Neue" w:hAnsi="Helvetica Neue" w:cs="Arial Unicode MS"/>
      <w:b/>
      <w:bCs/>
      <w:color w:val="FF4013"/>
      <w:spacing w:val="-4"/>
      <w:sz w:val="48"/>
      <w:szCs w:val="48"/>
      <w:lang w:val="en-US"/>
    </w:rPr>
  </w:style>
  <w:style w:type="paragraph" w:customStyle="1" w:styleId="Body3">
    <w:name w:val="Body 3"/>
    <w:rsid w:val="00372C7E"/>
    <w:pPr>
      <w:spacing w:line="288" w:lineRule="auto"/>
    </w:pPr>
    <w:rPr>
      <w:rFonts w:ascii="Helvetica Neue" w:hAnsi="Helvetica Neue" w:cs="Arial Unicode MS"/>
      <w:color w:val="000000"/>
      <w:lang w:val="en-US"/>
    </w:rPr>
  </w:style>
  <w:style w:type="paragraph" w:customStyle="1" w:styleId="Body">
    <w:name w:val="Body"/>
    <w:rsid w:val="00372C7E"/>
    <w:pPr>
      <w:spacing w:after="240" w:line="312" w:lineRule="auto"/>
    </w:pPr>
    <w:rPr>
      <w:rFonts w:ascii="Helvetica Neue" w:hAnsi="Helvetica Neue" w:cs="Arial Unicode MS"/>
      <w:color w:val="222222"/>
      <w:sz w:val="22"/>
      <w:szCs w:val="22"/>
      <w:lang w:val="en-US"/>
    </w:rPr>
  </w:style>
  <w:style w:type="numbering" w:customStyle="1" w:styleId="Numbered">
    <w:name w:val="Numbered"/>
    <w:rsid w:val="00372C7E"/>
    <w:pPr>
      <w:numPr>
        <w:numId w:val="1"/>
      </w:numPr>
    </w:pPr>
  </w:style>
  <w:style w:type="numbering" w:customStyle="1" w:styleId="Bullet">
    <w:name w:val="Bullet"/>
    <w:rsid w:val="00372C7E"/>
    <w:pPr>
      <w:numPr>
        <w:numId w:val="4"/>
      </w:numPr>
    </w:pPr>
  </w:style>
  <w:style w:type="paragraph" w:styleId="BalloonText">
    <w:name w:val="Balloon Text"/>
    <w:basedOn w:val="Normal"/>
    <w:link w:val="BalloonTextChar"/>
    <w:uiPriority w:val="99"/>
    <w:semiHidden/>
    <w:unhideWhenUsed/>
    <w:rsid w:val="00C2325A"/>
    <w:rPr>
      <w:rFonts w:ascii="Tahoma" w:hAnsi="Tahoma" w:cs="Tahoma"/>
      <w:sz w:val="16"/>
      <w:szCs w:val="16"/>
    </w:rPr>
  </w:style>
  <w:style w:type="character" w:customStyle="1" w:styleId="BalloonTextChar">
    <w:name w:val="Balloon Text Char"/>
    <w:basedOn w:val="DefaultParagraphFont"/>
    <w:link w:val="BalloonText"/>
    <w:uiPriority w:val="99"/>
    <w:semiHidden/>
    <w:rsid w:val="00C2325A"/>
    <w:rPr>
      <w:rFonts w:ascii="Tahoma" w:hAnsi="Tahoma" w:cs="Tahoma"/>
      <w:sz w:val="16"/>
      <w:szCs w:val="16"/>
      <w:lang w:val="en-US" w:eastAsia="en-US"/>
    </w:rPr>
  </w:style>
  <w:style w:type="table" w:styleId="TableGrid">
    <w:name w:val="Table Grid"/>
    <w:basedOn w:val="TableNormal"/>
    <w:uiPriority w:val="59"/>
    <w:rsid w:val="00DE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CB2AFC"/>
    <w:tblPr>
      <w:tblStyleRowBandSize w:val="1"/>
      <w:tblStyleColBandSize w:val="1"/>
      <w:tblInd w:w="0" w:type="dxa"/>
      <w:tblBorders>
        <w:top w:val="single" w:sz="8" w:space="0" w:color="85CC82" w:themeColor="accent2"/>
        <w:left w:val="single" w:sz="8" w:space="0" w:color="85CC82" w:themeColor="accent2"/>
        <w:bottom w:val="single" w:sz="8" w:space="0" w:color="85CC82" w:themeColor="accent2"/>
        <w:right w:val="single" w:sz="8" w:space="0" w:color="85CC82" w:themeColor="accent2"/>
        <w:insideH w:val="single" w:sz="8" w:space="0" w:color="85CC82" w:themeColor="accent2"/>
        <w:insideV w:val="single" w:sz="8" w:space="0" w:color="85CC8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CC82" w:themeColor="accent2"/>
          <w:left w:val="single" w:sz="8" w:space="0" w:color="85CC82" w:themeColor="accent2"/>
          <w:bottom w:val="single" w:sz="18" w:space="0" w:color="85CC82" w:themeColor="accent2"/>
          <w:right w:val="single" w:sz="8" w:space="0" w:color="85CC82" w:themeColor="accent2"/>
          <w:insideH w:val="nil"/>
          <w:insideV w:val="single" w:sz="8" w:space="0" w:color="85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C82" w:themeColor="accent2"/>
          <w:left w:val="single" w:sz="8" w:space="0" w:color="85CC82" w:themeColor="accent2"/>
          <w:bottom w:val="single" w:sz="8" w:space="0" w:color="85CC82" w:themeColor="accent2"/>
          <w:right w:val="single" w:sz="8" w:space="0" w:color="85CC82" w:themeColor="accent2"/>
          <w:insideH w:val="nil"/>
          <w:insideV w:val="single" w:sz="8" w:space="0" w:color="85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C82" w:themeColor="accent2"/>
          <w:left w:val="single" w:sz="8" w:space="0" w:color="85CC82" w:themeColor="accent2"/>
          <w:bottom w:val="single" w:sz="8" w:space="0" w:color="85CC82" w:themeColor="accent2"/>
          <w:right w:val="single" w:sz="8" w:space="0" w:color="85CC82" w:themeColor="accent2"/>
        </w:tcBorders>
      </w:tcPr>
    </w:tblStylePr>
    <w:tblStylePr w:type="band1Vert">
      <w:tblPr/>
      <w:tcPr>
        <w:tcBorders>
          <w:top w:val="single" w:sz="8" w:space="0" w:color="85CC82" w:themeColor="accent2"/>
          <w:left w:val="single" w:sz="8" w:space="0" w:color="85CC82" w:themeColor="accent2"/>
          <w:bottom w:val="single" w:sz="8" w:space="0" w:color="85CC82" w:themeColor="accent2"/>
          <w:right w:val="single" w:sz="8" w:space="0" w:color="85CC82" w:themeColor="accent2"/>
        </w:tcBorders>
        <w:shd w:val="clear" w:color="auto" w:fill="E0F2DF" w:themeFill="accent2" w:themeFillTint="3F"/>
      </w:tcPr>
    </w:tblStylePr>
    <w:tblStylePr w:type="band1Horz">
      <w:tblPr/>
      <w:tcPr>
        <w:tcBorders>
          <w:top w:val="single" w:sz="8" w:space="0" w:color="85CC82" w:themeColor="accent2"/>
          <w:left w:val="single" w:sz="8" w:space="0" w:color="85CC82" w:themeColor="accent2"/>
          <w:bottom w:val="single" w:sz="8" w:space="0" w:color="85CC82" w:themeColor="accent2"/>
          <w:right w:val="single" w:sz="8" w:space="0" w:color="85CC82" w:themeColor="accent2"/>
          <w:insideV w:val="single" w:sz="8" w:space="0" w:color="85CC82" w:themeColor="accent2"/>
        </w:tcBorders>
        <w:shd w:val="clear" w:color="auto" w:fill="E0F2DF" w:themeFill="accent2" w:themeFillTint="3F"/>
      </w:tcPr>
    </w:tblStylePr>
    <w:tblStylePr w:type="band2Horz">
      <w:tblPr/>
      <w:tcPr>
        <w:tcBorders>
          <w:top w:val="single" w:sz="8" w:space="0" w:color="85CC82" w:themeColor="accent2"/>
          <w:left w:val="single" w:sz="8" w:space="0" w:color="85CC82" w:themeColor="accent2"/>
          <w:bottom w:val="single" w:sz="8" w:space="0" w:color="85CC82" w:themeColor="accent2"/>
          <w:right w:val="single" w:sz="8" w:space="0" w:color="85CC82" w:themeColor="accent2"/>
          <w:insideV w:val="single" w:sz="8" w:space="0" w:color="85CC82" w:themeColor="accent2"/>
        </w:tcBorders>
      </w:tcPr>
    </w:tblStylePr>
  </w:style>
  <w:style w:type="paragraph" w:styleId="ListParagraph">
    <w:name w:val="List Paragraph"/>
    <w:basedOn w:val="Normal"/>
    <w:uiPriority w:val="34"/>
    <w:qFormat/>
    <w:rsid w:val="00C229C7"/>
    <w:pPr>
      <w:ind w:left="720"/>
      <w:contextualSpacing/>
    </w:pPr>
  </w:style>
  <w:style w:type="character" w:styleId="CommentReference">
    <w:name w:val="annotation reference"/>
    <w:basedOn w:val="DefaultParagraphFont"/>
    <w:uiPriority w:val="99"/>
    <w:semiHidden/>
    <w:unhideWhenUsed/>
    <w:rsid w:val="00035BFF"/>
    <w:rPr>
      <w:sz w:val="16"/>
      <w:szCs w:val="16"/>
    </w:rPr>
  </w:style>
  <w:style w:type="paragraph" w:styleId="CommentText">
    <w:name w:val="annotation text"/>
    <w:basedOn w:val="Normal"/>
    <w:link w:val="CommentTextChar"/>
    <w:uiPriority w:val="99"/>
    <w:semiHidden/>
    <w:unhideWhenUsed/>
    <w:rsid w:val="00035BFF"/>
    <w:rPr>
      <w:sz w:val="20"/>
      <w:szCs w:val="20"/>
    </w:rPr>
  </w:style>
  <w:style w:type="character" w:customStyle="1" w:styleId="CommentTextChar">
    <w:name w:val="Comment Text Char"/>
    <w:basedOn w:val="DefaultParagraphFont"/>
    <w:link w:val="CommentText"/>
    <w:uiPriority w:val="99"/>
    <w:semiHidden/>
    <w:rsid w:val="00035BFF"/>
    <w:rPr>
      <w:lang w:val="en-US" w:eastAsia="en-US"/>
    </w:rPr>
  </w:style>
  <w:style w:type="paragraph" w:styleId="CommentSubject">
    <w:name w:val="annotation subject"/>
    <w:basedOn w:val="CommentText"/>
    <w:next w:val="CommentText"/>
    <w:link w:val="CommentSubjectChar"/>
    <w:uiPriority w:val="99"/>
    <w:semiHidden/>
    <w:unhideWhenUsed/>
    <w:rsid w:val="0047575B"/>
    <w:rPr>
      <w:b/>
      <w:bCs/>
    </w:rPr>
  </w:style>
  <w:style w:type="character" w:customStyle="1" w:styleId="CommentSubjectChar">
    <w:name w:val="Comment Subject Char"/>
    <w:basedOn w:val="CommentTextChar"/>
    <w:link w:val="CommentSubject"/>
    <w:uiPriority w:val="99"/>
    <w:semiHidden/>
    <w:rsid w:val="0047575B"/>
    <w:rPr>
      <w:b/>
      <w:bCs/>
    </w:rPr>
  </w:style>
</w:styles>
</file>

<file path=word/webSettings.xml><?xml version="1.0" encoding="utf-8"?>
<w:webSettings xmlns:r="http://schemas.openxmlformats.org/officeDocument/2006/relationships" xmlns:w="http://schemas.openxmlformats.org/wordprocessingml/2006/main">
  <w:divs>
    <w:div w:id="128040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authority.gov.uk/monitoring-and-assessment/what-we-do/contact-osr/" TargetMode="External"/><Relationship Id="rId3" Type="http://schemas.openxmlformats.org/officeDocument/2006/relationships/settings" Target="settings.xml"/><Relationship Id="rId7" Type="http://schemas.openxmlformats.org/officeDocument/2006/relationships/hyperlink" Target="https://www.statisticsauthority.gov.uk/monitoring-and-assessment/what-we-do/contact-o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atisticsauthority.gov.uk/correspondence/benefit-sanction-statistics/" TargetMode="Externa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Hinds, Kerstin</dc:creator>
  <cp:lastModifiedBy>Post RC changes pt 2</cp:lastModifiedBy>
  <cp:revision>2</cp:revision>
  <cp:lastPrinted>2017-03-03T07:52:00Z</cp:lastPrinted>
  <dcterms:created xsi:type="dcterms:W3CDTF">2017-03-06T04:20:00Z</dcterms:created>
  <dcterms:modified xsi:type="dcterms:W3CDTF">2017-03-06T04:20:00Z</dcterms:modified>
</cp:coreProperties>
</file>